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4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center"/>
      </w:pPr>
      <w:bookmarkStart w:id="0" w:name="bookmark0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Antykruchość</w:t>
      </w:r>
      <w:bookmarkEnd w:id="0"/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 rzeczach, którym służą wstrząsy</w:t>
      </w:r>
      <w:bookmarkEnd w:id="2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Nassim Nicholas Taleb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760" w:line="240" w:lineRule="auto"/>
        <w:ind w:left="0" w:right="0" w:firstLine="0"/>
        <w:jc w:val="center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Przełożyła Olga Siara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59410" cy="46355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59410" cy="463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9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7934" w:h="11563"/>
          <w:pgMar w:top="1173" w:right="929" w:bottom="978" w:left="938" w:header="745" w:footer="550" w:gutter="0"/>
          <w:pgNumType w:start="1"/>
          <w:cols w:space="720"/>
          <w:noEndnote/>
          <w:rtlGutter w:val="0"/>
          <w:docGrid w:linePitch="360"/>
        </w:sectPr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Kurhaus, Warszawa 2013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231F20"/>
          <w:spacing w:val="0"/>
          <w:w w:val="100"/>
          <w:position w:val="0"/>
          <w:shd w:val="clear" w:color="auto" w:fill="auto"/>
          <w:lang w:val="pl-PL" w:eastAsia="pl-PL" w:bidi="pl-PL"/>
        </w:rPr>
        <w:t>Dodatek I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228" w:lineRule="auto"/>
        <w:ind w:left="0" w:right="0" w:firstLine="0"/>
        <w:jc w:val="center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Graficzny przewodnik</w:t>
        <w:br/>
        <w:t>po książce</w:t>
      </w:r>
      <w:bookmarkEnd w:id="4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295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Dla tych entuzjastów nieliniowości, którzy przedkładają rysunki nad słowa, i jedynie dla nich.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260"/>
        <w:ind w:left="0" w:right="0" w:firstLine="0"/>
        <w:jc w:val="center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NIELINIOWOŚĆ A MNIEJ ZNACZY WIĘCEJ</w:t>
        <w:br/>
        <w:t>(&amp; ŁOŻE PROKRUSTOWE)</w:t>
      </w:r>
      <w:bookmarkEnd w:id="6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both"/>
        <w:rPr>
          <w:sz w:val="19"/>
          <w:szCs w:val="19"/>
        </w:rPr>
      </w:pPr>
      <w:r>
        <w:drawing>
          <wp:anchor distT="12700" distB="12700" distL="25400" distR="25400" simplePos="0" relativeHeight="125829378" behindDoc="0" locked="0" layoutInCell="1" allowOverlap="1">
            <wp:simplePos x="0" y="0"/>
            <wp:positionH relativeFrom="page">
              <wp:posOffset>640080</wp:posOffset>
            </wp:positionH>
            <wp:positionV relativeFrom="paragraph">
              <wp:posOffset>38100</wp:posOffset>
            </wp:positionV>
            <wp:extent cx="2279650" cy="1487170"/>
            <wp:wrapSquare wrapText="right"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279650" cy="14871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19.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Rysunek ten wyjaśnia Mrówno nieli</w:t>
        <w:softHyphen/>
        <w:t>niową reakcję, jak i ideę „mnie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znaczy więcej”. Gdy dawka przekracza pwirn poziom, korzystne efekty znikają. Jak mo</w:t>
        <w:softHyphen/>
        <w:t>gliśmy zobaczyć, wszyst</w:t>
        <w:softHyphen/>
        <w:t>kie zależności nielinio</w:t>
        <w:softHyphen/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we są albo wypukłe, albo wklęsłe, lub też jak na tym rysunku, mają charakter mieszany. Widać też, jak w sytuacji nieliniowości, redukcje zawodzą: łoża prokrustowe słów „to jest dla ciebie dobre” lub „o jest złe ” silnie znekkszaałcjąą sens. Ponadto, rozumiemy dlaczego tak waż</w:t>
        <w:softHyphen/>
        <w:t>ne są wnikające z praktycznego doświadczenia metody heurystyczne, bowiem nie doprowadzą nas one do strefy niebezpieczeństwa — słowa i opowieści mogą to sprawić. Zauważmy, że strefa „więcej znaczy wię</w:t>
        <w:softHyphen/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cej” jest wypukła, co oznacza coraz szybciej rosnące początkowe korzyści. (WLewantyńskim arabskim, strefa poza punktem nasycenia nazywana jest:</w:t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 Llj t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„więcej czegoś to jak mniej czegoś”).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42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Wreszcie, pokazuje to, dlaczego motywowana konkurencją skłon</w:t>
        <w:softHyphen/>
        <w:t>ność do „wyrafinowania” (raczej komplikowanie rzeczy udające wyrafi</w:t>
        <w:softHyphen/>
        <w:t>nowanie) jest szkodliwa, w porównaniu z wynikającym z praktycznych działań dążeniem do optymalnej prostoty.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center"/>
        <w:rPr>
          <w:sz w:val="19"/>
          <w:szCs w:val="19"/>
        </w:rPr>
      </w:pPr>
      <w:r>
        <w:rPr>
          <w:b/>
          <w:bCs/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Twierdzenie transferowe krtwhosd: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50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Zauważmy, że z twierdzenia transferowego kruchości wynika: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EKSPOZYCJA O KSZTAŁCIE WYPUKŁYM </w:t>
      </w:r>
      <w:r>
        <w:rPr>
          <w:rFonts w:ascii="Arial" w:eastAsia="Arial" w:hAnsi="Arial" w:cs="Arial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^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LUBI</w:t>
        <w:br/>
        <w:t>ZMIENNOŚĆ (DO PEWNEGO STOPNIA)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(zmienność i pozostali członkowie grona nieporządku) oraz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295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EKSPOZYCJA O KSZTAŁCIE WKLĘSŁYM </w:t>
      </w:r>
      <w:r>
        <w:rPr>
          <w:rFonts w:ascii="Arial" w:eastAsia="Arial" w:hAnsi="Arial" w:cs="Arial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^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NIE LUBI</w:t>
        <w:br/>
        <w:t>ZMIENNOŚCI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MAPOWANIE KRUCHOŚCI</w:t>
      </w:r>
      <w:bookmarkEnd w:id="8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 przestrzeni szeregów czasowych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5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20.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Zmienność kruchości w czasie, dwa typy kruchości. Przykła</w:t>
        <w:softHyphen/>
        <w:t>dowe szeregi czasowe. Oś pozioma reprezentuje czas, oś pionowa po</w:t>
        <w:softHyphen/>
        <w:t>kazuje zmienność. Te przykłady mogą dotyczyć wielu zastosowań, jak indykatory stanu zdrowia, zmiany bogactwa, twoje szczęście itd. Mo</w:t>
        <w:softHyphen/>
        <w:t>żemy zaobserwować małe (lub nie) pozytywne efekty i zmienność przez większość obserwowanego okresu oraz incydentalne niekorzystne efekty. Skutki niepewności mogą być bardzo dotkliwe. Zauważmy, że strata może nastąpić w dowolnym momencie i przewyższyć skumulowane do tej pory korzyści. Różnica między typem 2 (lewy wykres) a typem 1</w:t>
      </w:r>
      <w:r>
        <w:br w:type="page"/>
      </w:r>
    </w:p>
    <w:p>
      <w:pPr>
        <w:widowControl w:val="0"/>
        <w:spacing w:line="1" w:lineRule="exact"/>
      </w:pPr>
      <w:r>
        <w:drawing>
          <wp:anchor distT="79375" distB="168275" distL="0" distR="0" simplePos="0" relativeHeight="125829379" behindDoc="0" locked="0" layoutInCell="1" allowOverlap="1">
            <wp:simplePos x="0" y="0"/>
            <wp:positionH relativeFrom="page">
              <wp:posOffset>676275</wp:posOffset>
            </wp:positionH>
            <wp:positionV relativeFrom="paragraph">
              <wp:posOffset>79375</wp:posOffset>
            </wp:positionV>
            <wp:extent cx="1731010" cy="993775"/>
            <wp:wrapTopAndBottom/>
            <wp:docPr id="4" name="Shap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731010" cy="993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165100" distL="0" distR="0" simplePos="0" relativeHeight="125829380" behindDoc="0" locked="0" layoutInCell="1" allowOverlap="1">
            <wp:simplePos x="0" y="0"/>
            <wp:positionH relativeFrom="page">
              <wp:posOffset>2620645</wp:posOffset>
            </wp:positionH>
            <wp:positionV relativeFrom="paragraph">
              <wp:posOffset>0</wp:posOffset>
            </wp:positionV>
            <wp:extent cx="1791970" cy="1073150"/>
            <wp:wrapTopAndBottom/>
            <wp:docPr id="6" name="Shap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791970" cy="1073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10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(prawy wykres) p olega na tym, że w przypadku typ u 2 nie występu</w:t>
        <w:softHyphen/>
        <w:t>ją duże efekty pozytywne, z k</w:t>
      </w:r>
      <w:r>
        <w:rPr>
          <w:rFonts w:ascii="Arial" w:eastAsia="Arial" w:hAnsi="Arial" w:cs="Arial"/>
          <w:i/>
          <w:iCs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>t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órymi mamy do czynienia w przypadku typ u 1.</w:t>
      </w:r>
    </w:p>
    <w:p>
      <w:pPr>
        <w:widowControl w:val="0"/>
        <w:spacing w:line="1" w:lineRule="exact"/>
      </w:pPr>
      <w:r>
        <w:drawing>
          <wp:anchor distT="114300" distB="0" distL="0" distR="0" simplePos="0" relativeHeight="125829381" behindDoc="0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114300</wp:posOffset>
            </wp:positionV>
            <wp:extent cx="1633855" cy="1237615"/>
            <wp:wrapTopAndBottom/>
            <wp:docPr id="8" name="Shap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633855" cy="12376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24155" distB="1026795" distL="0" distR="0" simplePos="0" relativeHeight="125829382" behindDoc="0" locked="0" layoutInCell="1" allowOverlap="1">
                <wp:simplePos x="0" y="0"/>
                <wp:positionH relativeFrom="page">
                  <wp:posOffset>2651760</wp:posOffset>
                </wp:positionH>
                <wp:positionV relativeFrom="paragraph">
                  <wp:posOffset>224155</wp:posOffset>
                </wp:positionV>
                <wp:extent cx="368935" cy="97790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8935" cy="97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Zmiany wartości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208.80000000000001pt;margin-top:17.650000000000002pt;width:29.050000000000001pt;height:7.7000000000000002pt;z-index:-125829371;mso-wrap-distance-left:0;mso-wrap-distance-top:17.650000000000002pt;mso-wrap-distance-right:0;mso-wrap-distance-bottom:80.850000000000009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Zmiany wartości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37845" distB="636905" distL="0" distR="0" simplePos="0" relativeHeight="125829384" behindDoc="0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537845</wp:posOffset>
                </wp:positionV>
                <wp:extent cx="365760" cy="173990"/>
                <wp:wrapTopAndBottom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576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Eksplozja</w:t>
                              <w:br/>
                              <w:t>(Czarny Łabędź)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250.80000000000001pt;margin-top:42.350000000000001pt;width:28.800000000000001pt;height:13.700000000000001pt;z-index:-125829369;mso-wrap-distance-left:0;mso-wrap-distance-top:42.350000000000001pt;mso-wrap-distance-right:0;mso-wrap-distance-bottom:50.149999999999999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Eksplozja</w:t>
                        <w:br/>
                        <w:t>(Czarny Łabędź)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467995" distB="719455" distL="0" distR="0" simplePos="0" relativeHeight="125829386" behindDoc="0" locked="0" layoutInCell="1" allowOverlap="1">
            <wp:simplePos x="0" y="0"/>
            <wp:positionH relativeFrom="page">
              <wp:posOffset>3462655</wp:posOffset>
            </wp:positionH>
            <wp:positionV relativeFrom="paragraph">
              <wp:posOffset>467995</wp:posOffset>
            </wp:positionV>
            <wp:extent cx="591185" cy="164465"/>
            <wp:wrapTopAndBottom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591185" cy="1644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302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21.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System po prostu wytrzymały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ale nie antykruchyj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lewy wy</w:t>
        <w:softHyphen/>
        <w:t>kres): charakteryzuje go iiewielka zmienność w czasie lub jej brak. Zmiany nigdy nie są znaczne. System Antykruchy (prawy wykres): nie</w:t>
        <w:softHyphen/>
        <w:t>pewność przynosi dużo więcej korzyści niż strat - dokładnieprzeciwnie niż w przypadku lewego wykresu na rysunku 20.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" w:name="bookmark10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WIDZIANE W KATEGORIACH</w:t>
      </w:r>
      <w:bookmarkEnd w:id="10"/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PRAWDOP ODOBIEŃSTWA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0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22.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Oś pozioma reprezentuje wyniki, oś pionowa ichprawdopodo- bienstwa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tzn. rozkład prawdopodobienstwaj System wytrzymały: nie</w:t>
        <w:softHyphen/>
        <w:t xml:space="preserve">wielkie korzystne i rnkkrzyytnee wyniki. System kruchy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typ 1, bardzo</w:t>
      </w: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both"/>
        <w:rPr>
          <w:sz w:val="19"/>
          <w:szCs w:val="19"/>
        </w:rPr>
      </w:pPr>
      <w:r>
        <w:drawing>
          <wp:anchor distT="0" distB="0" distL="25400" distR="25400" simplePos="0" relativeHeight="125829387" behindDoc="0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12700</wp:posOffset>
            </wp:positionV>
            <wp:extent cx="2487295" cy="1713230"/>
            <wp:wrapSquare wrapText="right"/>
            <wp:docPr id="16" name="Shap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487295" cy="17132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rzadki): może genem- wać duże efekty, za</w:t>
        <w:softHyphen/>
        <w:t>równo korzystnie, jak i niekorzystne. Dla</w:t>
        <w:softHyphen/>
        <w:t>czego rzadko występu</w:t>
        <w:softHyphen/>
        <w:t>je? Symetrię rzadko, wręcz bardzo rzadko obserwuje się empi</w:t>
        <w:softHyphen/>
        <w:t>rycznie, ale wszystkie rozkłady statystyczne</w:t>
      </w:r>
      <w:r>
        <w:rPr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ją zakładają, dla uproszczenia. System kruchy (typ 2): obserwujemy duże, mało prawdopodobne niekorzystne efekty (często ukryte i igno</w:t>
        <w:softHyphen/>
        <w:t>rowane) i niewielkie efekty pozytywne. Istnieje możliwość zaistnienia dotkliwych efektów negatywnych (lewy wykres), w znacznie większym stopniu niż wystąpienia znacznych efektów pozytywnych, ponieważ lewa strona rozkładu jest grubsza niż strona prawa. System antykru- chy: znaczne efekty pozytywne, niewielkie negatywne. Znaczne efekty pozytywne są całkiem pra wdopodobne, a zn aczn e efekty niekorzystne dużo mniej (jeśli w ogóle możliwe). Prawy ogon rozkładu, dla efektów korzystnych, jest większy niż ogon lewy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Tabela 9. </w:t>
      </w:r>
      <w:r>
        <w:rPr>
          <w:b w:val="0"/>
          <w:bCs w:val="0"/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Cztery różne efekty</w:t>
      </w:r>
    </w:p>
    <w:tbl>
      <w:tblPr>
        <w:tblOverlap w:val="never"/>
        <w:jc w:val="center"/>
        <w:tblLayout w:type="fixed"/>
      </w:tblPr>
      <w:tblGrid>
        <w:gridCol w:w="1992"/>
        <w:gridCol w:w="1982"/>
        <w:gridCol w:w="1973"/>
      </w:tblGrid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Lewy ogon rozkładu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Prawy ogon rozkładu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Status systemu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Cienki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Gruby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Antykruchy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Gruby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Gruby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Kruchy (typ 1) (Bardzo rzadki)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Gruby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Cienki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Kruchy (typ 2)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Cienki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Cienki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Wytrzymały</w:t>
            </w:r>
          </w:p>
        </w:tc>
      </w:tr>
    </w:tbl>
    <w:p>
      <w:pPr>
        <w:widowControl w:val="0"/>
        <w:spacing w:after="9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40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Kruchość charakteryzuje się grubym lewym ogonem, a więc, co istotne, jest przez to wrażliwa na zaburzenia po lewej stronie roz</w:t>
        <w:softHyphen/>
        <w:t>kładu prawdopodobieństwa.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79520" cy="1237615"/>
            <wp:docPr id="18" name="Picut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779520" cy="1237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3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23.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Definicja kruchości (lewy wykres): kruchosc to zacieniony obszar, będący przyrostem masy prawdopodobienstwa w lewym ogonie rozkładu poniżej pewnego poziomu K zmiennej celu w reakcji na do</w:t>
        <w:softHyphen/>
        <w:t xml:space="preserve">wolną zmianę parametru dla zm iennej źródłowej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-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 głównie „niestabil- nosc” lub jakiś bardziej stabilny proces. Wszystkie te źródła zmienności zawrzemy w ramach parametru s-, o którym będzie dalej mowa (gdzie udało mi się ukryc równania). Co do definicji antykruchosci (prawy wykres), która nie jest do konca symetryczna, mamy lustrzane odbicie tego samego, co obserwowaliśmy poprzednio w prawym ogonie rozkła</w:t>
        <w:softHyphen/>
        <w:t>du i dodatkowo wytrzymałość w lewym ogonie. Parametrem podlegają</w:t>
        <w:softHyphen/>
        <w:t>cym perturbacjom jest s+. Kluczowe jest to, że chociaż możemy nie byc w stanie wyspecyfikowac z wystarczającą dokładnością rozkładu praw- dopodobienstwa, to jednak możemy zbadac reakcje systemu metodami heurystycznymi, posiłkując się „ twierdzeniem o funkcji transferowej ” z pracy Taleb i Douady (2012). Innymi słowy, nie ma potrzeby, by- śmy znali prawdopodobienstwa przyszłych zdarzen, ponieważ jesteśmy w stanie ocenic kruchosc tych zdarzeń.</w:t>
      </w:r>
      <w:r>
        <w:br w:type="page"/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3" w:name="bookmark13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TANSFORMACJA TYPU </w:t>
      </w:r>
      <w:r>
        <w:rPr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t>SZTANGA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W PRZESTRZENI</w:t>
        <w:br/>
        <w:t>SZEREGÓW CZASOWYCH</w:t>
      </w:r>
      <w:bookmarkEnd w:id="1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360" w:line="305" w:lineRule="auto"/>
        <w:ind w:left="0" w:right="0" w:firstLine="0"/>
        <w:jc w:val="both"/>
        <w:rPr>
          <w:sz w:val="19"/>
          <w:szCs w:val="19"/>
        </w:rPr>
      </w:pPr>
      <w:r>
        <w:drawing>
          <wp:anchor distT="0" distB="0" distL="50800" distR="50800" simplePos="0" relativeHeight="125829388" behindDoc="0" locked="0" layoutInCell="1" allowOverlap="1">
            <wp:simplePos x="0" y="0"/>
            <wp:positionH relativeFrom="page">
              <wp:posOffset>648970</wp:posOffset>
            </wp:positionH>
            <wp:positionV relativeFrom="paragraph">
              <wp:posOffset>38100</wp:posOffset>
            </wp:positionV>
            <wp:extent cx="2401570" cy="1499870"/>
            <wp:wrapSquare wrapText="right"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2401570" cy="14998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24.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Sztanga w prze</w:t>
        <w:softHyphen/>
        <w:t>strzeni szeregów czaso</w:t>
        <w:softHyphen/>
        <w:t>wych. Ograniczenie efek</w:t>
        <w:softHyphen/>
        <w:t>tów z dołu, bez górnego pułapu.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center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SZTANGI (TRANSOFRMACJE WYPUKŁE)</w:t>
        <w:br/>
        <w:t>I ICH WŁASNOŚCI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0"/>
        <w:jc w:val="center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W PRZESTRZENI PROBABILISTYCZNEJ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Graficzna ilustracja koncepcji sztangi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480" w:right="0" w:firstLine="0"/>
        <w:jc w:val="both"/>
        <w:rPr>
          <w:sz w:val="19"/>
          <w:szCs w:val="19"/>
        </w:rPr>
      </w:pPr>
      <w:r>
        <w:drawing>
          <wp:anchor distT="155575" distB="0" distL="199390" distR="114300" simplePos="0" relativeHeight="125829389" behindDoc="0" locked="0" layoutInCell="1" allowOverlap="1">
            <wp:simplePos x="0" y="0"/>
            <wp:positionH relativeFrom="page">
              <wp:posOffset>755650</wp:posOffset>
            </wp:positionH>
            <wp:positionV relativeFrom="paragraph">
              <wp:posOffset>193675</wp:posOffset>
            </wp:positionV>
            <wp:extent cx="2091055" cy="1298575"/>
            <wp:wrapSquare wrapText="right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2091055" cy="12985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38100</wp:posOffset>
                </wp:positionV>
                <wp:extent cx="640080" cy="13081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20404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Prawdopodobieństwo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52.800000000000004pt;margin-top:3.pt;width:50.399999999999999pt;height:10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20404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Prawdopodobieństwo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25.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Przypadk 1 (symetria). Wprowa</w:t>
        <w:softHyphen/>
        <w:t>dzenie do systemu niepewności sprawia, że przechodzimy od krzywej w kształcie dzwonu — pierwsza, z wąskim obszarem możliwych realizacji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— do drugiej krzywej, z niżej położonym wierzchołkiem, ale szerzej rozpo</w:t>
        <w:softHyphen/>
        <w:t>startej. Przejście od pierwszej do drugiej krzywej powoduje przyrost pozytyw</w:t>
        <w:softHyphen/>
        <w:t>nych i negatywnych niespodzianek, zarówno pozytywnych, jak i negatywnych Czarnych Łabędzi.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73170" cy="1237615"/>
            <wp:docPr id="25" name="Picut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773170" cy="1237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26.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Przypadek 2 (lewy wykres): kruchy. Niewielkie korzy</w:t>
        <w:softHyphen/>
        <w:t>ści, większe straty Rosnąca niepewność w systemie powoduje wzrost głównie (a czasami wyłącznie) niekorzystnych wyników, po prostu negatywnych Czarnych Łabędzi. Przypadek 3 (prawy wykres): anty- kruchy Rosnąca niepewność i losowość w systemie zwiększająprawdo- podobieństwo bardzo korzystnych wyników i odpowiednio zwiększają oczekiwaną wypłatę. Zauważmy, że jest to dokładnie lustrzane odbi</w:t>
        <w:softHyphen/>
        <w:t>cie sytuacji z lewego wykresu tego rysunku, co oznacza, że odkrycie na</w:t>
        <w:softHyphen/>
        <w:t>ukowe jest, w matematycznym ujęciu, dokładnie jak przeciwieństwo opóźnienia samolotu.</w:t>
      </w:r>
    </w:p>
    <w:p>
      <w:pPr>
        <w:widowControl w:val="0"/>
        <w:spacing w:after="49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center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TECHNICZNE UJĘCIE PROBLEMU „TO NIE TO SAMO”</w:t>
        <w:br/>
        <w:t>GRUBEGO TONY’EGO LUB KONFLACJA ZDARZEŃ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0"/>
        <w:jc w:val="center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I EKSPOZYCJA NA ZDARZENIA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Uwagi te wyjaśniają również pojęcie „transformacji wypukłej”.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300"/>
        <w:jc w:val="both"/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ekspozycją względem zmiennej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można równo</w:t>
        <w:softHyphen/>
        <w:t xml:space="preserve">ważnie nazywać „wypłatą z tytułu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”, „ekspozycją na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”, a nawet „użytecznością wypłaty z tytułu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”, gdzie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definiujemy jako funkcje użyteczności,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może oznaczać cokolwiek.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0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Przykład: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oznacza intensywność trzęsienia ziemi, mierzoną w pewnej skali, na jakimś obszarze,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liczbą ofiar z tego powodu. Łatwo można zauważyć, że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może być bardziej prze</w:t>
        <w:softHyphen/>
        <w:t xml:space="preserve">widywalne niż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(jeżeli sprawimy, by ludzie nie zamieszkiwali pew</w:t>
        <w:softHyphen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nych obszarów lub też, by zabudowa odpowiadała pewnym stan</w:t>
        <w:softHyphen/>
        <w:t>dardom itd.).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Przykład: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oznacza mierzoną w metrach skalę mojego upadku w me</w:t>
        <w:softHyphen/>
        <w:t xml:space="preserve">trach z wysokości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z której ktoś mnie zepchnął,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miarą stanu mojego zdrowia w wyniku upadku. Jasnym jest, że nie jestem w stanie przewidzieć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(tego, kto mnie zepchnie, zaś mogę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Przykład: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oznacza liczbę samochodów w Nowym Jorku w jutrzej</w:t>
        <w:softHyphen/>
        <w:t xml:space="preserve">sze południe,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czasem podróży z punktu A do punktu B dla pewnej osoby.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może być łatwiej przewidzieć niż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(może poje</w:t>
        <w:softHyphen/>
        <w:t>chać metrem lub nawet lepiej pójść piechotą).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Niektórzy rozprawiają na temat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sądząc, że mówią o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 To jest problem konflacji zdarzenia i ekspozycji na nie. Ten błąd, obecny u Arystotelesa, jest w istocie powszechny w pismach filozo</w:t>
        <w:softHyphen/>
        <w:t>ficznych dotyczących prawdopodobieństwa (na przykład, Hacking).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Można stać się antykruchym względem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nie rozumiejąc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ze względu na wypukłość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Odpowiedzią na pytanie: „jak zachowujesz się w świecie, któ</w:t>
        <w:softHyphen/>
        <w:t xml:space="preserve">rego nie rozumiesz?” jest, po prostu: doświadczasz niepożądanych stanów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Często łatwiej jest zmodyfikować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niż zgromadzić lepszą wiedzę na temat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 (Innymi słowy, raczej wzmacnianie wytrzymało</w:t>
        <w:softHyphen/>
        <w:t>ści niż prognozowanie Czarnych Łabędzi).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Przykład: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Jeśli kupię na rynku ubezpieczenie, w tym przypadku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którego wartość spadnie o 20%, to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będzie niezależne od tej części rozkładu prawdopodobieństwa zmiennej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, która znajduje się poniżej 20%. (To jest przykład sztangi).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10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27.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Transformacja wypukła (f (x) jest funkcją wypukłą wzglę</w:t>
        <w:softHyphen/>
        <w:t>dem x). Różnica między x a ekspozycją na x. Na rysunku z prawej nie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55390" cy="1231265"/>
            <wp:docPr id="26" name="Picut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755390" cy="12312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ma ryzyka spadków. Rzecz w tym, by przekształcić f (x) w taki sposób by, wiedza na temat własności x po lewej stronie rozkładu stała się tak bezużyteczna, jak tylko to możliwe. Taką operację nazywamy transfor</w:t>
        <w:softHyphen/>
        <w:t>macją wypukłą, której nadaliśmy tu ksywkę „sztanga”.</w:t>
      </w:r>
    </w:p>
    <w:p>
      <w:pPr>
        <w:widowControl w:val="0"/>
        <w:spacing w:after="23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Problem mokrej tarcicy: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Gdy ktoś bierze za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inną funkcję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g(x)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, która charakteryzuje się odmiennymi nieliniowościami.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Bardziej technicznie: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Jeśli coś jest antykruche względem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wtedy wariancja (lub zmienność, lub też inne miary fluktuacji)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ko</w:t>
        <w:softHyphen/>
        <w:t xml:space="preserve">rzystna dla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, ponieważ w rozkładach, które są skośne, średnia zależy od wariancji, a także, jeśli rozkład jest prawoskośny, wartość oczekiwana rośnie wraz z wariancją (na przykład, w przypadku roz</w:t>
        <w:softHyphen/>
        <w:t xml:space="preserve">kładu lognormalnego, wartość średnia zawiera składnik +D </w:t>
      </w:r>
      <w:r>
        <w:rPr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2).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Co więcej, rozkład prawdopodobieństwa dla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istotnie różny, niż w przypadku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, szczególnie gdy występują nieliniowości.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5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Gdy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wypukła (wklęsła) monotonicznie,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prawo- </w:t>
      </w:r>
      <w:r>
        <w:rPr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t>skośna (lewoskośna)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Gdy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rosnąca oraz wypukła z lewej i wklęsła po prawej stronie, wówczas rozkład prawdopodobieństwa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charakteryzuje się cieńszym ogonem niż rozkład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 Na przykład, w teorii perspek</w:t>
        <w:softHyphen/>
        <w:t>tywy Kahnemana - Tversky’ego, tak zwana użyteczność zmian bo</w:t>
        <w:softHyphen/>
        <w:t>gactwa jest bardziej „wytrzymała” niż użyteczność samego bogactwa.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Dlaczego wypłaty mają większe znaczenie niż prawdopodobień</w:t>
        <w:softHyphen/>
        <w:t xml:space="preserve">stwo (technicznie):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Gdy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funkcją gęstości prawdopodo</w:t>
        <w:softHyphen/>
        <w:t xml:space="preserve">bieństwa, wartość oczekiwana, to jest )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f(x) p(x) dx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zależeć będzie raczej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>,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a nie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a ponadto im bardziej nieliniowa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>,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tym sil</w:t>
        <w:softHyphen/>
        <w:t xml:space="preserve">niejsza będzie to zależność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>,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raczej niż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bookmarkStart w:id="15" w:name="bookmark15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CZWARTA ĆWIARTKA (TALEB, 2009)</w:t>
      </w:r>
      <w:bookmarkEnd w:id="1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Idea polega na tym, że zdarzenia rzadkie są nie do policzenia (w do</w:t>
        <w:softHyphen/>
        <w:t>menie rozkładów gruboogonowych), ale możemy ocenić naszą eks</w:t>
        <w:softHyphen/>
        <w:t>pozycję na nie.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Tabela 10.</w:t>
      </w:r>
    </w:p>
    <w:tbl>
      <w:tblPr>
        <w:tblOverlap w:val="never"/>
        <w:jc w:val="center"/>
        <w:tblLayout w:type="fixed"/>
      </w:tblPr>
      <w:tblGrid>
        <w:gridCol w:w="1992"/>
        <w:gridCol w:w="1944"/>
        <w:gridCol w:w="1973"/>
      </w:tblGrid>
      <w:tr>
        <w:trPr>
          <w:trHeight w:val="7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LEKKOOGONOWY</w:t>
            </w:r>
          </w:p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ROZKŁAD WZGLĘDEMX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GRUBOOGONOWY</w:t>
            </w:r>
          </w:p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ROZKŁAD WZGLĘDEMX</w:t>
            </w:r>
          </w:p>
        </w:tc>
      </w:tr>
      <w:tr>
        <w:trPr>
          <w:trHeight w:val="103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fjx)</w:t>
            </w: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 xml:space="preserve"> „łagodzi” poprzez od</w:t>
              <w:softHyphen/>
              <w:t>cięcie skrajnych efektów, tj. przypadek wypukło - wklęsły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Wynik bardzo wytrzymały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Wynik dość wytrzymały</w:t>
            </w:r>
          </w:p>
        </w:tc>
      </w:tr>
      <w:tr>
        <w:trPr>
          <w:trHeight w:val="10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f(x)</w:t>
            </w: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 xml:space="preserve"> wklęsło-wypukła, wzmacnia najbardziej odległe efekty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Wynik wytrzymały (tak trochę)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CZWARTA ĆWIARTKA</w:t>
            </w:r>
          </w:p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 xml:space="preserve">Kruchy (jeżeli </w:t>
            </w:r>
            <w:r>
              <w:rPr>
                <w:i/>
                <w:iCs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pl-PL" w:eastAsia="pl-PL" w:bidi="pl-PL"/>
              </w:rPr>
              <w:t>f(x)</w:t>
            </w: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 xml:space="preserve"> jest wklęsła) lub antykruchy</w:t>
            </w:r>
          </w:p>
        </w:tc>
      </w:tr>
    </w:tbl>
    <w:p>
      <w:pPr>
        <w:widowControl w:val="0"/>
        <w:spacing w:after="759" w:line="1" w:lineRule="exact"/>
      </w:pP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17" w:name="bookmark17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WYPUKŁOŚCI LOKALNE I GLOBALNE (TECHNICZNE)</w:t>
      </w:r>
      <w:bookmarkEnd w:id="1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Nic nie jest nieograniczone w naturze — śmierć jest maksymalnym ostatecznym rezultatem dla jednostki. Więc wszystko kończy się w strefie wypukłości na jednym końcu, w strefie wklęsłości na dru</w:t>
        <w:softHyphen/>
        <w:t>gim.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 w:line="29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 iśćcie, dla istot biologicz</w:t>
      </w:r>
      <w:r>
        <w:rPr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t>n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ych isrnieje punkt mafeymalnej straty. Powróćmy do wklęsłego obrazu głazu i kamyków z Rozdziału 18: rozszerzając analizowany przedział dostrzegamy, że ograniczo</w:t>
        <w:softHyphen/>
        <w:t>ność straty prowadzi do wypukłości w jakimś obszarze.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06495" cy="981710"/>
            <wp:docPr id="27" name="Picut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706495" cy="9817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7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28 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Lewy wykres ilustruje opowieść o głazie i kamykach z Roz</w:t>
        <w:softHyphen/>
        <w:t>działu 18, w przypadku rozszerzonego przedziału. W pewnym momen</w:t>
        <w:softHyphen/>
        <w:t>cie, wklęsłość przechodzi w wypukłość, gdy straty. Prawy wykres ilustruje silną antykruchość, bez ograniczenia z góry (co prowadzi do Ekstremi- stanu). Takie efekty są możliwe jedynie w przypadku zmiennych eko</w:t>
        <w:softHyphen/>
        <w:t>nomicznych, jak na przykład sprzedaż książek, lub też w przypadku zjawisk nieograniczonych lub niemal nieograniczonych. Nie potrafię wskazać tego rodzaju efektu w naturze.</w:t>
      </w:r>
    </w:p>
    <w:p>
      <w:pPr>
        <w:framePr w:w="3883" w:h="1483" w:hSpace="2078" w:vSpace="53" w:wrap="notBeside" w:vAnchor="text" w:hAnchor="text" w:x="53" w:y="54"/>
        <w:widowControl w:val="0"/>
        <w:rPr>
          <w:sz w:val="2"/>
          <w:szCs w:val="2"/>
        </w:rPr>
      </w:pPr>
      <w:r>
        <w:drawing>
          <wp:inline>
            <wp:extent cx="2468880" cy="944880"/>
            <wp:docPr id="28" name="Picut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2468880" cy="944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33020" distR="2573020" simplePos="0" relativeHeight="12582939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0</wp:posOffset>
                </wp:positionV>
                <wp:extent cx="1246505" cy="917575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6505" cy="917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2" w:lineRule="auto"/>
                              <w:ind w:left="0" w:right="0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pl-PL" w:eastAsia="pl-PL" w:bidi="pl-PL"/>
                              </w:rPr>
                              <w:t xml:space="preserve">Rys. 29. </w:t>
                            </w:r>
                            <w:r>
                              <w:rPr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pl-PL" w:eastAsia="pl-PL" w:bidi="pl-PL"/>
                              </w:rPr>
                              <w:t>Słaba anty- kruchość (Przeciętno- stan), ze skończonym maksimum. Zjawisko typowe w naturze.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202.5pt;margin-top:0;width:98.150000000000006pt;height:72.25pt;z-index:-125829363;mso-wrap-distance-left:2.6000000000000001pt;mso-wrap-distance-right:202.59999999999999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2" w:lineRule="auto"/>
                        <w:ind w:left="0" w:right="0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pl-PL" w:eastAsia="pl-PL" w:bidi="pl-PL"/>
                        </w:rPr>
                        <w:t xml:space="preserve">Rys. 29. </w:t>
                      </w:r>
                      <w:r>
                        <w:rPr>
                          <w:i/>
                          <w:iCs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Słaba anty- kruchość (Przeciętno- stan), ze skończonym maksimum. Zjawisko typowe w naturze.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9" w:name="bookmark19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NIETYPOWE NIELINIOWOŚCI</w:t>
        <w:br/>
        <w:t>(BARDZO TECHNICZNE)</w:t>
      </w:r>
      <w:bookmarkEnd w:id="1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0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Następne dwa rodzaje nieliniowości są niemal niespotykane poza obszarem zmiennych ekonomicznych; są one w szczególności ogra</w:t>
        <w:softHyphen/>
        <w:t>niczone do zjawisk powodowanych przez instrumenty pochodne.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91585" cy="1164590"/>
            <wp:docPr id="31" name="Picut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3791585" cy="1164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3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305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vertAlign w:val="superscript"/>
          <w:lang w:val="pl-PL" w:eastAsia="pl-PL" w:bidi="pl-PL"/>
        </w:rPr>
        <w:t>R</w:t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ys. 30.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Wykres lewy obrazuje wypuklo-wklęslą funkcję rosnącą, prze</w:t>
        <w:softHyphen/>
        <w:t>ciwieństwo ograniczonych zależności typu dawka — efekt, które obser</w:t>
        <w:softHyphen/>
        <w:t>wujemy w naturze. To prowadzi nas do typu 2, kruchy (bardzo, ale to bardzo grube ogony rozkładu). Wykres prawy ilustruje przypadek najbardziej niebezpieczny ze wszystkich: pseudowypuklość. Lokalna antykruchość, globalna kruchość.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5" w:lineRule="auto"/>
        <w:ind w:left="0" w:right="0" w:firstLine="0"/>
        <w:jc w:val="center"/>
      </w:pPr>
      <w:bookmarkStart w:id="21" w:name="bookmark21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NIELINIOWOŚCI MEDYCZNE I ICH ODPOWIEDNIKI</w:t>
        <w:br/>
        <w:t>PROBABILISTYCZNE (ROZDZIAŁY 21 &amp; 22)</w:t>
      </w:r>
      <w:bookmarkEnd w:id="2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31.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Jatrogenia w medycynie:przypadek niewielkich korzyści i wiel</w:t>
        <w:softHyphen/>
        <w:t>kich strat typu Czarny Łabędź, przedstawiony wprzestrzeni probabili</w:t>
        <w:softHyphen/>
        <w:t>stycznej. Jatrogenia występuje wtedy, gdy mamy do czynienia z niewiel</w:t>
        <w:softHyphen/>
        <w:t>kimi, dającymi się zidentyfikować korzyściami (naprzykład, uniknięcie nieznacznego dyskomfortu lub drobne</w:t>
      </w:r>
      <w:r>
        <w:rPr>
          <w:rFonts w:ascii="Arial" w:eastAsia="Arial" w:hAnsi="Arial" w:cs="Arial"/>
          <w:i/>
          <w:iCs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 xml:space="preserve">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infekcji), ale jesteśmy na rażeni na Czarne Łabędzie z odłożonymi i ukrytymi olbrzymimi skutkami ubocznymi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jak śmierć). Te rozłożone według wklęsłej krzywej korzyści ze stosowania medycyny są dokladnie takie, jak ze sprzedaży opcji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fi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-</w:t>
      </w: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10" w:lineRule="auto"/>
        <w:ind w:left="0" w:right="0" w:firstLine="380"/>
        <w:jc w:val="both"/>
        <w:rPr>
          <w:sz w:val="19"/>
          <w:szCs w:val="19"/>
        </w:rPr>
      </w:pPr>
      <w:r>
        <w:drawing>
          <wp:anchor distT="0" distB="0" distL="114300" distR="114300" simplePos="0" relativeHeight="125829392" behindDoc="0" locked="0" layoutInCell="1" allowOverlap="1">
            <wp:simplePos x="0" y="0"/>
            <wp:positionH relativeFrom="page">
              <wp:posOffset>652145</wp:posOffset>
            </wp:positionH>
            <wp:positionV relativeFrom="margin">
              <wp:posOffset>91440</wp:posOffset>
            </wp:positionV>
            <wp:extent cx="2475230" cy="1517650"/>
            <wp:wrapTopAndBottom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2475230" cy="15176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3194050</wp:posOffset>
                </wp:positionH>
                <wp:positionV relativeFrom="margin">
                  <wp:posOffset>64135</wp:posOffset>
                </wp:positionV>
                <wp:extent cx="1243330" cy="1618615"/>
                <wp:wrapTopAndBottom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3330" cy="1618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523" w:val="left"/>
                              </w:tabs>
                              <w:bidi w:val="0"/>
                              <w:spacing w:before="0" w:after="0" w:line="307" w:lineRule="auto"/>
                              <w:ind w:left="0" w:right="0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pl-PL" w:eastAsia="pl-PL" w:bidi="pl-PL"/>
                              </w:rPr>
                              <w:t>nansowych (olbrzymie ryzyko) dla zapewnie</w:t>
                              <w:softHyphen/>
                              <w:t>nia znikomych natych</w:t>
                              <w:softHyphen/>
                              <w:t>miastowych zysków, z</w:t>
                              <w:tab/>
                              <w:t>zaasadninnmm,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pl-PL" w:eastAsia="pl-PL" w:bidi="pl-PL"/>
                              </w:rPr>
                              <w:t>że -nie stwierdzono negatywnych skutków [ang. evidence of no harm — przyp. tłum.].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251.5pt;margin-top:5.0499999999999998pt;width:97.900000000000006pt;height:127.45pt;z-index:-125829360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523" w:val="left"/>
                        </w:tabs>
                        <w:bidi w:val="0"/>
                        <w:spacing w:before="0" w:after="0" w:line="307" w:lineRule="auto"/>
                        <w:ind w:left="0" w:right="0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i/>
                          <w:iCs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nansowych (olbrzymie ryzyko) dla zapewnie</w:t>
                        <w:softHyphen/>
                        <w:t>nia znikomych natych</w:t>
                        <w:softHyphen/>
                        <w:t>miastowych zysków, z</w:t>
                        <w:tab/>
                        <w:t>zaasadninnmm,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i/>
                          <w:iCs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że -nie stwierdzono negatywnych skutków [ang. evidence of no harm — przyp. tłum.].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Mówiąc w skrócie, dla osoby zdrowej istnieje niewielkie prawdopo- dobienstwofatalnych skutków (pomijanych, ponieważ nie są widoczne, więc nie są brane pod uwagę) i znaczne prawdopodobieństwo umiarko</w:t>
        <w:softHyphen/>
        <w:t>wanych korzyści.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drawing>
          <wp:anchor distT="12700" distB="12700" distL="76200" distR="76200" simplePos="0" relativeHeight="125829395" behindDoc="0" locked="0" layoutInCell="1" allowOverlap="1">
            <wp:simplePos x="0" y="0"/>
            <wp:positionH relativeFrom="page">
              <wp:posOffset>670560</wp:posOffset>
            </wp:positionH>
            <wp:positionV relativeFrom="margin">
              <wp:posOffset>2606040</wp:posOffset>
            </wp:positionV>
            <wp:extent cx="2267585" cy="1438910"/>
            <wp:wrapSquare wrapText="right"/>
            <wp:docPr id="36" name="Shap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2267585" cy="14389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32.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Nieliniowości w biologii. Wypukło- -wklęsły kształt niewąt</w:t>
        <w:softHyphen/>
        <w:t>pliwie pochodzi od do</w:t>
        <w:softHyphen/>
        <w:t>wolnego procesu wzrostu (monotonicznego, tj. ezz spadków), który jest ogra</w:t>
        <w:softHyphen/>
        <w:t>niczony, z wartościami maksimum i min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i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mum,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jj proces nie zmierza do nieskończoności z żadnej strony. Na niskich poziomach, zależność dawka — efekt jest wypukła (stopniowy wzrost efektywności). Kolejne dawki stają się coraz mniej efektywne lub za</w:t>
        <w:softHyphen/>
        <w:t>czynają szkodzić. Podobny schemat do tyczy konsumpcji jakiegokolwiek dobra z nadmierną częstością. Ten wykres bez wątpienia dotyczy dowol</w:t>
        <w:softHyphen/>
        <w:t>nego procesu ograniczonego po o bu stronach, ze znanymi wartościami minimum i maksimum (ttan nasycenia), co dotyczy też szczęścia.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38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Na przykład, jeśli ktoś uważa, że istnieje maksymalny poziom szczęścia i nieszczęścia, to ogólny kształt krzywej, wypukłej z lewej stro</w:t>
        <w:softHyphen/>
        <w:t>ny i wklęsłej po prawej, będzie z konieczności odnosił się do szczęścia</w:t>
      </w: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(wystarczy zamienić „dawkę” na „bogactwo” oraz „reakcję” na „szczę</w:t>
        <w:softHyphen/>
        <w:t>ście”). Teoria perspektywy Kahnemana-Toerskycgo modeluje podobny kształt dla krzywej „użyteczności” zmian bogactwa, co autorzy stwier</w:t>
        <w:softHyphen/>
        <w:t>dzili empirycznie.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drawing>
          <wp:anchor distT="25400" distB="25400" distL="88900" distR="735330" simplePos="0" relativeHeight="125829396" behindDoc="0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50800</wp:posOffset>
            </wp:positionV>
            <wp:extent cx="1749425" cy="1103630"/>
            <wp:wrapSquare wrapText="right"/>
            <wp:docPr id="38" name="Shap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1749425" cy="11036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2449195</wp:posOffset>
                </wp:positionH>
                <wp:positionV relativeFrom="paragraph">
                  <wp:posOffset>730250</wp:posOffset>
                </wp:positionV>
                <wp:extent cx="624840" cy="133985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484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Stopień dolegliwości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192.84999999999999pt;margin-top:57.5pt;width:49.200000000000003pt;height:10.55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Stopień dolegliwości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33.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Przypomnij- my sobie przykład z aadcinninnimn tętni</w:t>
        <w:softHyphen/>
        <w:t>czym. Na osi pionowej cdkacdmyy korzyści z leczenia, a na osi po</w:t>
        <w:softHyphen/>
        <w:t>ziomej — stopień dole</w:t>
        <w:softHyphen/>
      </w:r>
      <w:r>
        <w:rPr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gliwości. Strzałka wskazuje na poziom, przy którym probabilistycznie mierzone korzyści zrównują się z probabilistycznie mierzonymi stra- tam i. Jatrogenia zn ika nieliniowo jako funkcja stopnia dolegliwości. Wynika stąd, że kiedy pacjent jest ba rdzo chory, rozkład przesuwa się w stroną antykruchości (grubszy prawy ogn)), z czym wiążą się znacz</w:t>
        <w:softHyphen/>
        <w:t>ne korzyści z leczenia względem możliwej jatrogenii, a więc niewiele do stracenia.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38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Zauważmy, że jeśli zwiększymy intensywność leczenia, znajdziemy się w obszarze wklęsłości krzywej wraz z osiągnięciem maksymalnych korzyści, czego nie obejmuje rysunek—gdyby więc spojrzeć szerzej na ten proces, otrzymalibyśmy rysunek zbliżony do poprzedniego.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5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34.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Lewy wykres ilustruje zjawisko hormezy organizmu żywego (podobnie jak na rysunku TK): obserwujemy fazę korzyści, gdy daw</w:t>
        <w:softHyphen/>
        <w:t>ka rośnie (początkowo według krzywizny wypukłej), po czym korzystny efekt słabnie przechodząc w fazę straty, kiedy zwiększamy dawkę trochę bardziej (początkowo według krzywizny wklęsłej); następnie obserwu</w:t>
        <w:softHyphen/>
        <w:t>jemy, jak krzywa wypłaszcza się na poziomie maksymalnej straty (po</w:t>
        <w:softHyphen/>
        <w:t>wyżej pewnego punktu, organizm staje się martwy, co pokazuje, że dla biologii właściwy jest przypadek ograniczoności procesu, który jest naj</w:t>
        <w:softHyphen/>
        <w:t>gorszym możliwym scenariuszem. Na prawym wykresie, widzimy nie-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79520" cy="1158240"/>
            <wp:docPr id="42" name="Picut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3779520" cy="115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312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poprawny przebieg hormezy z podręczników medycyny, z początkową wklęsłością, zaczynającą się od fazy liniowe</w:t>
      </w:r>
      <w:r>
        <w:rPr>
          <w:rFonts w:ascii="Arial" w:eastAsia="Arial" w:hAnsi="Arial" w:cs="Arial"/>
          <w:i/>
          <w:iCs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 xml:space="preserve">j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lub lekko wklęsłej.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23" w:name="bookmark23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ODWROTNOŚĆ PROBLEMU INDYKA</w:t>
      </w:r>
      <w:bookmarkEnd w:id="2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 w:line="302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35.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Antykruchy system, odwrotność problemu indyka: niewidocz</w:t>
        <w:softHyphen/>
        <w:t>ne rzadkie zdarzenie ma charakter pozytywny. Gdy patrzycie na do</w:t>
        <w:softHyphen/>
        <w:t>datnio skośny (antykruchy) szereg czasowy i wnioskujecie o tym, czego nie widać, pomijacie to, co dobre i nie doszacowujecie korzyści (Pisano, 2006a, 2006b, błędne ujęcie). Na prawym rysunku, inny problem har- wardzki, podniesiony przez Froota (2001). ypepełniony obszar odpo</w:t>
        <w:softHyphen/>
        <w:t>wiada temu, czego skłonni jesteśmy nie dostrzegać w małych próbach, z racji niewystarczającej liczby obserwacji. Ciekawe, że zaszarzony ob</w:t>
        <w:softHyphen/>
        <w:t xml:space="preserve">szar rośnie waz z błędem modelu. p bardziej technicznych partiach Dodatku obszar ten oznaczony będzie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rFonts w:ascii="Arial" w:eastAsia="Arial" w:hAnsi="Arial" w:cs="Arial"/>
          <w:i/>
          <w:iCs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>&gt;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B (indyk) i </w:t>
      </w:r>
      <w:r>
        <w:rPr>
          <w:i/>
          <w:iCs/>
          <w:smallCap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ojC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 oodwottność problem u indyka).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5" w:name="bookmark25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RÓŻNICA MIĘDZY ESTYMATORAMI PUNKTOWYMI</w:t>
        <w:br/>
        <w:t>A ROZKŁADAMI</w:t>
      </w:r>
      <w:bookmarkEnd w:id="2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80" w:line="290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Zastosujmy tę metodę analizy do prześledzenia, jak planiści popeł</w:t>
        <w:softHyphen/>
        <w:t>niają błędy, które popełniają i dlaczego deficyty zwykle są większe od planowanych.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79520" cy="1158240"/>
            <wp:docPr id="43" name="Picut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779520" cy="115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38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36.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Rozbieżność między prognozami a rzeczywistością: roz- klad prawdopodobieństwa kosztów projektów w głowach planistów (lewy wykres) i w rzeczywistości (prawy wykres). Zgodnie z pierwszym wykresem, zakładają oni, że koszty ęędą zarówno niskie, jak i całkiem pewne. Prawy wykres pokazuje wyniki, które są zarówno gorsze, jak i bardziej rozproszone, a w szczególności te gorsze wyniki są bardziej prawdopodobne. Zauważmy, &amp; kruchość wzrasta z tytułu pęcznienia lewego ogo na rozkładu 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380"/>
        <w:jc w:val="both"/>
        <w:rPr>
          <w:sz w:val="19"/>
          <w:szCs w:val="19"/>
        </w:rPr>
        <w:sectPr>
          <w:headerReference w:type="default" r:id="rId45"/>
          <w:footerReference w:type="default" r:id="rId46"/>
          <w:headerReference w:type="even" r:id="rId47"/>
          <w:footerReference w:type="even" r:id="rId48"/>
          <w:headerReference w:type="first" r:id="rId49"/>
          <w:footerReference w:type="first" r:id="rId50"/>
          <w:footnotePr>
            <w:pos w:val="pageBottom"/>
            <w:numFmt w:val="decimal"/>
            <w:numRestart w:val="continuous"/>
          </w:footnotePr>
          <w:pgSz w:w="7934" w:h="11563"/>
          <w:pgMar w:top="1173" w:right="929" w:bottom="978" w:left="938" w:header="0" w:footer="3" w:gutter="0"/>
          <w:pgNumType w:start="555"/>
          <w:cols w:space="720"/>
          <w:noEndnote/>
          <w:titlePg/>
          <w:rtlGutter w:val="0"/>
          <w:docGrid w:linePitch="360"/>
        </w:sect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Niezrozumienie skutków niepewności dotyczy deficytów rządowych, planów zawierających elementy IT, czasu podróży (w mniejszym stop</w:t>
        <w:softHyphen/>
        <w:t>niu) i jeszcze wielu innych. Wykorzystamy jeszcze dalej ten rysunek by zilustrować efekt błędu modelu, wynikający z niedoszacowania kru</w:t>
        <w:softHyphen/>
        <w:t>chości, jeśli parametr założony jako stały jest losowy A to właśnie jest plagą ekonomii w wydaniu biurokratów (patrz, dalsze rozważania).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231F20"/>
          <w:spacing w:val="0"/>
          <w:w w:val="100"/>
          <w:position w:val="0"/>
          <w:shd w:val="clear" w:color="auto" w:fill="auto"/>
          <w:lang w:val="pl-PL" w:eastAsia="pl-PL" w:bidi="pl-PL"/>
        </w:rPr>
        <w:t>Dodatek II (bardzo techniczny)</w:t>
      </w:r>
    </w:p>
    <w:p>
      <w:pPr>
        <w:pStyle w:val="Style5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Tam gdzie większość</w:t>
        <w:br/>
        <w:t>modeli ekonomicznych</w:t>
        <w:br/>
        <w:t>kruszeje i wysadza nas</w:t>
        <w:br/>
        <w:t>w powietrze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0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Gdy używałem terminu „techniczny” w głównym tekście, trochę oszukiwałem. Ale już nie tutaj.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Niespójność Markowitza: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załóżmy, że ktoś powiedział wam, że praw</w:t>
        <w:softHyphen/>
        <w:t>dopodobieństwo pewnego zdarzenia wynosi dokładnie zero. Pyta</w:t>
        <w:softHyphen/>
        <w:t>cie go, skąd to wie. „Wiem to od Baala”, brzmi odpowiedź. W tym przypadku osoba ta jest spójna, ale będzie uważana za niewiarygodną przez tych, którzy nie są wyznawcami Baala. Z drugiej strony, gdyby osoba ta powiedziała wam: „Oszacowałem to prawdopodobieństwo na zero”, to mamy problem. Osoba ta jest bowiem zarówno niewia</w:t>
        <w:softHyphen/>
        <w:t>rygodna, jak i niespójna. Coś, co zostało oszacowane, musi mieć błąd szacunku. Prawdopodobieństwo nie może więc równać się zeru, jeśli wynika z estymacji, a dolne ograniczenie szacunku zależy od błędu estymacji: im większy błąd estymacji, tym większe prawdopodobień</w:t>
        <w:softHyphen/>
        <w:t>stwo, ale tylko do pewnego poziomu. Jak wynika z argumentacji La- place’a w kwestii całkowitej niewiedzy, wraz ze wzrostem błędu esty</w:t>
        <w:softHyphen/>
        <w:t>macji do nieskończoności, prawdopodobieństwo zmierza do D.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2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Powróćmy do konsekwencji błędnego myślenia; przyjmijmy teraz, że jakakolwiek estymacja parametru, a następnie użycie tej wartości w jakimś równaniu, jest różne od jednoczesnej estymacji wszystkich parametrów równania (tak samo, jak to było w przypad</w:t>
        <w:softHyphen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ku zdrowia babci, przeciętnej temperatury, więc termin »estymacja« nie jest istotny, a to, na czym nam zależy, to wiedza na temat prze</w:t>
        <w:softHyphen/>
        <w:t>ciętnego stanu zdrowia przy różnych wartościach temperatury). No i Markowitz wykazał się niespójnością w swoim rozumowaniu, roz</w:t>
        <w:softHyphen/>
        <w:t>poczynając swój „wiekopomny” artykuł: „Załóżmy, że znamy E i V” (czyli wartość oczekiwaną i wariancję). Na końcu artykułu przyznaje on, że muszą być one oszacowane oraz, co gorsza, z zastosowaniem zestawu technik statystycznych i „zdrowego rozsądku praktyków”. Otóż, jeśli parametry te trzeba oszacować, co pociąga za sobą błąd estymacji, to całe rozumowanie powinno być zapisane inaczej i rzecz jasna nie byłoby artykułu - i nie tylko artykułu Markowitza, ale nie byłoby kryzysów, nowoczesnych finansów, wyznawców kruchości uczących studentów bezwartościowej wiedzy...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Prosty przykład: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deficyty budżetowe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Posługujemy się przykładem deficytów budżetowych ze względu na to, że obecnie stosowane przez rządy i agencje rządowe sposoby ich obliczania pomijają czynnik wypukłości (i mają one problem, by to zaakceptować). W rzeczywistości, instytucje te nie biorą tego czynnika pod uwagę. Przykład, który to ilustruje: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7" w:val="left"/>
        </w:tabs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Zaniedbanie stochastycznej natury zmiennej, co do której wiemy, że wpływa na zachowanie modelu, ale która wydaje się de</w:t>
        <w:softHyphen/>
        <w:t>terministyczna (i ma wartość ustaloną), oraz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1" w:val="left"/>
        </w:tabs>
        <w:bidi w:val="0"/>
        <w:spacing w:before="0" w:after="240" w:line="295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F, funkcja tej zmiennej, jest wypukła lub wklęsła względem tej zmiennej.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Powiedzmy, że rząd szacuje stopę bezrobocia w ciągu trzech naj</w:t>
        <w:softHyphen/>
        <w:t>bliższych lat na średnio 9%; używa swoich modeli ekonometrycz- nych, by wyprognozować deficyt budżetowy B na poziomie 200 mi</w:t>
        <w:softHyphen/>
        <w:t>liardów w lokalnej walucie. Ale nie bierze pod uwagę (co tyczy się niemal wszystkiego w ekonomii), że bezrobocie jest zmienną sto</w:t>
        <w:softHyphen/>
        <w:br w:type="page"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chastyczną. W rzeczywistości, stopa bezrobocia wahała się w ciągu trzech lat średnio o 1%. Możemy następująco policzyć efekt błędu: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Stopa bezrobocia równa 8%, deficytB (8%) = -75 mld (poprawa o 125 mld) Stopa bezrobocia równa 9%, deficyt B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9%% = -200 mld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12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Stopa bezrobocia óóurna 10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0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%, dficyt B (10%) = -550 mld (pogorszenie o 350 mld)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Obciążenie z tytułu wklęsłości, lub inaczej ujemne obciążenie z tytułu wypukłości, wynikające z niedoszacowania deficytu wynosi -112,5 mld, ponieważ D {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(8%) +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(10%)} = -312 mld, nie zaś -200 mld. To jest właśnie przykład odwrotności kamienia filozoficz</w:t>
        <w:softHyphen/>
        <w:t xml:space="preserve">nego [ang.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the inversephilosopherś Stone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- przyp. tłum.].</w:t>
      </w:r>
    </w:p>
    <w:p>
      <w:pPr>
        <w:pStyle w:val="Style5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700" w:firstLine="0"/>
        <w:jc w:val="right"/>
        <w:rPr>
          <w:sz w:val="28"/>
          <w:szCs w:val="28"/>
        </w:rPr>
      </w:pPr>
      <w:bookmarkStart w:id="27" w:name="bookmark27"/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pl-PL" w:eastAsia="pl-PL" w:bidi="pl-PL"/>
        </w:rPr>
        <w:t>r</w:t>
      </w:r>
      <w:bookmarkEnd w:id="27"/>
    </w:p>
    <w:p>
      <w:pPr>
        <w:widowControl w:val="0"/>
        <w:spacing w:line="1" w:lineRule="exact"/>
      </w:pPr>
      <w:r>
        <w:drawing>
          <wp:anchor distT="113030" distB="39370" distL="0" distR="533400" simplePos="0" relativeHeight="125829397" behindDoc="0" locked="0" layoutInCell="1" allowOverlap="1">
            <wp:simplePos x="0" y="0"/>
            <wp:positionH relativeFrom="page">
              <wp:posOffset>694690</wp:posOffset>
            </wp:positionH>
            <wp:positionV relativeFrom="paragraph">
              <wp:posOffset>113030</wp:posOffset>
            </wp:positionV>
            <wp:extent cx="1377950" cy="883920"/>
            <wp:wrapTopAndBottom/>
            <wp:docPr id="50" name="Shap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377950" cy="8839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2096770</wp:posOffset>
                </wp:positionH>
                <wp:positionV relativeFrom="paragraph">
                  <wp:posOffset>170815</wp:posOffset>
                </wp:positionV>
                <wp:extent cx="509270" cy="130810"/>
                <wp:wrapNone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0927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Stopa bezrobocia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165.09999999999999pt;margin-top:13.450000000000001pt;width:40.100000000000001pt;height:10.30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Stopa bezrobocia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26720" distB="91440" distL="0" distR="0" simplePos="0" relativeHeight="125829398" behindDoc="0" locked="0" layoutInCell="1" allowOverlap="1">
            <wp:simplePos x="0" y="0"/>
            <wp:positionH relativeFrom="page">
              <wp:posOffset>2538730</wp:posOffset>
            </wp:positionH>
            <wp:positionV relativeFrom="paragraph">
              <wp:posOffset>426720</wp:posOffset>
            </wp:positionV>
            <wp:extent cx="1042670" cy="518160"/>
            <wp:wrapTopAndBottom/>
            <wp:docPr id="54" name="Shap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5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1042670" cy="5181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2745740</wp:posOffset>
                </wp:positionH>
                <wp:positionV relativeFrom="paragraph">
                  <wp:posOffset>216535</wp:posOffset>
                </wp:positionV>
                <wp:extent cx="810895" cy="207010"/>
                <wp:wrapNone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0895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Pominięta kruchość (niedostrzegany lewy ogon)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216.20000000000002pt;margin-top:17.050000000000001pt;width:63.850000000000001pt;height:16.30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Pominięta kruchość (niedostrzegany lewy ogon)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86055" distB="91440" distL="155575" distR="347345" simplePos="0" relativeHeight="125829399" behindDoc="0" locked="0" layoutInCell="1" allowOverlap="1">
            <wp:simplePos x="0" y="0"/>
            <wp:positionH relativeFrom="page">
              <wp:posOffset>3608705</wp:posOffset>
            </wp:positionH>
            <wp:positionV relativeFrom="paragraph">
              <wp:posOffset>186055</wp:posOffset>
            </wp:positionV>
            <wp:extent cx="445135" cy="755650"/>
            <wp:wrapTopAndBottom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445135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3453130</wp:posOffset>
                </wp:positionH>
                <wp:positionV relativeFrom="paragraph">
                  <wp:posOffset>0</wp:posOffset>
                </wp:positionV>
                <wp:extent cx="542290" cy="167640"/>
                <wp:wrapNone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229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Pominięty efekt wypukłości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271.89999999999998pt;margin-top:0;width:42.700000000000003pt;height:13.20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Pominięty efekt wypukłości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4160520</wp:posOffset>
                </wp:positionH>
                <wp:positionV relativeFrom="paragraph">
                  <wp:posOffset>804545</wp:posOffset>
                </wp:positionV>
                <wp:extent cx="240665" cy="130810"/>
                <wp:wrapNone/>
                <wp:docPr id="62" name="Shape 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066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Deficyt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327.60000000000002pt;margin-top:63.350000000000001pt;width:18.949999999999999pt;height:10.30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Deficyt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941705" distB="0" distL="0" distR="0" simplePos="0" relativeHeight="125829400" behindDoc="0" locked="0" layoutInCell="1" allowOverlap="1">
                <wp:simplePos x="0" y="0"/>
                <wp:positionH relativeFrom="page">
                  <wp:posOffset>2526665</wp:posOffset>
                </wp:positionH>
                <wp:positionV relativeFrom="paragraph">
                  <wp:posOffset>941705</wp:posOffset>
                </wp:positionV>
                <wp:extent cx="1551305" cy="91440"/>
                <wp:wrapTopAndBottom/>
                <wp:docPr id="64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51305" cy="914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475" w:val="left"/>
                                <w:tab w:pos="926" w:val="left"/>
                                <w:tab w:pos="1382" w:val="left"/>
                                <w:tab w:pos="1838" w:val="left"/>
                                <w:tab w:pos="234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-1000</w:t>
                              <w:tab/>
                              <w:t>-800</w:t>
                              <w:tab/>
                              <w:t>-600</w:t>
                              <w:tab/>
                              <w:t>-400</w:t>
                              <w:tab/>
                              <w:t>-200</w:t>
                              <w:tab/>
                              <w:t>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198.95000000000002pt;margin-top:74.150000000000006pt;width:122.15000000000001pt;height:7.2000000000000002pt;z-index:-125829353;mso-wrap-distance-left:0;mso-wrap-distance-top:74.150000000000006pt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5" w:val="left"/>
                          <w:tab w:pos="926" w:val="left"/>
                          <w:tab w:pos="1382" w:val="left"/>
                          <w:tab w:pos="1838" w:val="left"/>
                          <w:tab w:pos="234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-1000</w:t>
                        <w:tab/>
                        <w:t>-800</w:t>
                        <w:tab/>
                        <w:t>-600</w:t>
                        <w:tab/>
                        <w:t>-400</w:t>
                        <w:tab/>
                        <w:t>-200</w:t>
                        <w:tab/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both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 . 37.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Transformacj e nielnowe pozwalają na wykrycie zarówno obciążenia z tytułu wypukłości modelu, jak i kruchości. Gaaficnaa ilu</w:t>
        <w:softHyphen/>
        <w:t>stracja przykładu: histogram wyników symulacji Monte Carlo deficytu budżetowego jako lewoskośnej zmiennej losowej, naturalnie w wyni</w:t>
        <w:softHyphen/>
        <w:t>ku randomizacji stopy bezrobocia, względem której deficyt jest funkcją wklęsłą. Metoda punktowej estymac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j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i zakładałaby zachowanie zgodne z rozkładem typu delta Diraca w punkcie -200, co pociąga za sobą niedoszacowanie zarówno oczekiwanego deficytu (-312), jak i jego ogo</w:t>
        <w:softHyphen/>
        <w:t>nowej kruchości.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307" w:lineRule="auto"/>
        <w:ind w:left="0" w:right="0" w:firstLine="0"/>
        <w:jc w:val="center"/>
        <w:rPr>
          <w:sz w:val="19"/>
          <w:szCs w:val="19"/>
        </w:rPr>
      </w:pPr>
      <w:r>
        <w:rPr>
          <w:b/>
          <w:bCs/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ZASTOSOWANIE: MODEL RICARDO ILEWY OGON</w:t>
        <w:br/>
        <w:t>- CENA WINA MOŻE SIĘ ZMIENIAĆ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Od niemal 200 lat dyskutujemy nad pojęciem zwanym „przewaga komparatywna”, wprowadzonym przez ekonomistę Davida Ricardo. W skrócie, oznacza ono, że kraj powinien prowadzić pewną polity</w:t>
        <w:softHyphen/>
        <w:t>kę, na podstawie przewag komparatywnych w odniesieniu do wina lub sukna. Załóżmy, że dany kraj jest dobry w produkcji zarówno wina, jak i sukna, i jest w tym lepszy od swoich sąsiadów, z którymi może prowadzić wolny handel. W takiej sytuacji rzecz jasna optymal</w:t>
        <w:softHyphen/>
        <w:t>ną strategią byłoby specjalizowanie się w tym, spośród wina i sukna, co odpowiada danemu krajowi najbardziej i minimalizuje koszty al</w:t>
        <w:softHyphen/>
        <w:t>ternatywne. Wszyscy byliby wtedy zadowoleni. Analogicznie, według ekonomisty Paula Samuelsona, jeśli ktoś jest najlepszym lekarzem w mieście i równocześnie najlepszą sekretarką, to najlepiej byłoby, gdyby owa osoba została dobrze zarabiającym lekarzem - ponieważ minimalizowałoby to koszty alternatywne - pozwalając komuś inne</w:t>
        <w:softHyphen/>
        <w:t>mu być sekretarką i kupować od tej osoby usługi sekretarki.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Zgadzam się z tym, że są pewne korzyści z jakiejś formy specja</w:t>
        <w:softHyphen/>
        <w:t>lizacji, ale nie wynika z modeli, które te korzyści uzasadniają. W ro</w:t>
        <w:softHyphen/>
        <w:t>zumowaniu tym występuje następujący mankament. To prawda, by</w:t>
        <w:softHyphen/>
        <w:t>łoby niewyobrażalne, by doktor został sekretarką na część etatu tylko dlatego, że jest w tym dobry. Ale jednocześnie możemy niezawodnie założyć, że bycie lekarzem gwarantuje pewną stabilizację zawodową: ludzie zawsze będą chorować, a także z profesją lekarza wiąże się wyż</w:t>
        <w:softHyphen/>
        <w:t>szy status społeczny niż z bycia sekretarką, co czyni profesję lekarza bardziej atrakcyjną. Ale teraz załóżmy, że w świecie składającym się z dwóch krajów, jeden z krajów specjalizuje się w produkcji wina, z za</w:t>
        <w:softHyphen/>
        <w:t xml:space="preserve">miarem sprzedaży swojego specjału do drugiego kraju, 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tymczasem nagle cena wina spada gwałtownie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 Jakaś zmian w gustach konsumen</w:t>
        <w:softHyphen/>
        <w:t>tów spowodowała zmianę ceny. Analiza Ricardo zakłada, że zarówno cena rynkowa wina, jak i koszty jego produkcji pozostają stałe i że hi</w:t>
        <w:softHyphen/>
        <w:t>storia ta nie ma „drugiego dna”.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Tabela 11. </w:t>
      </w:r>
      <w:r>
        <w:rPr>
          <w:b w:val="0"/>
          <w:bCs w:val="0"/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ORYGINALNY PRZYKŁAD RICARDO (JEDNOSTKOWE KOSZTY PRODUKCJI)</w:t>
      </w:r>
    </w:p>
    <w:tbl>
      <w:tblPr>
        <w:tblOverlap w:val="never"/>
        <w:jc w:val="center"/>
        <w:tblLayout w:type="fixed"/>
      </w:tblPr>
      <w:tblGrid>
        <w:gridCol w:w="1987"/>
        <w:gridCol w:w="1987"/>
        <w:gridCol w:w="1992"/>
      </w:tblGrid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SUKNO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WINO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Brytania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110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Portugalia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90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pl-PL" w:eastAsia="pl-PL" w:bidi="pl-PL"/>
              </w:rPr>
              <w:t>80</w:t>
            </w:r>
          </w:p>
        </w:tc>
      </w:tr>
    </w:tbl>
    <w:p>
      <w:pPr>
        <w:widowControl w:val="0"/>
        <w:spacing w:after="25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Rozumowanie: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tabela powyżej pokazuje koszty produkcji, znor</w:t>
        <w:softHyphen/>
        <w:t>malizowane względem ceny sprzedaży jednostki każdego dobra, to znaczy zakładając, że dobra te są wymieniane po równych ce</w:t>
        <w:softHyphen/>
        <w:t>nach (jednostka sukna za jednostkę wina). Jako paradoks wydaje się sytuacja, w której Portugalia produkuje sukno taniej niż Brytania, ale powinna je stamtąd kupować, wykorzystując do tego przychody ze sprzedaży wina. Przy braku kosztów transakcyjnych i transportu, efektywnym jest, by Brytania produkowała jedynie sukno, a Portu</w:t>
        <w:softHyphen/>
        <w:t>galia tylko wino.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Koncepcja ta zawsze przyciągała ekonomistów ze względu na swój paradoksalny i kontrintuicyjny aspekt. Na przykład, w arty</w:t>
        <w:softHyphen/>
        <w:t>kule „Why Intellectuals Don’t Understand Comparative Advantage” (Krugman, 1998), Paul Krugman, który ma sam problem ze zrozu</w:t>
        <w:softHyphen/>
        <w:t>mieniem tego pojęcia, ponieważ tekst ten i jego techniczna część po</w:t>
        <w:softHyphen/>
        <w:t>kazują, że jest on jest całkowicie pozbawiony wiedzy na temat rzad</w:t>
        <w:softHyphen/>
        <w:t>kich zdarzeń i zarządzania ryzykiem, a jednocześnie kpi z innych intelektualistów, takich jak S. J. Gould, którzy rozumieją ideę rzad</w:t>
        <w:softHyphen/>
        <w:t>kich zdarzeń, chociaż raczej intuicyjnie niż analitycznie. (Jasnym jest, że nie można mówić o zwrotach i zyskach bez dyskontowania tych korzyści równoważącymi je ryzykami). Artykuł ten pokazuje, że Krugman popełnia istotny i niebezpieczny błąd mylenia funkcji średniej ze średnią funkcji.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Załóżmy teraz, że ceny wina i sukna są zmienne — czego Ricardo nie zakładał - i że liczby powyższe liczby odzwierciedlają ich nieobciążone długookresowe wartości. Dalej załóżmy, że ceny zachowują się zgodnie z rozkładem gruboogonowym. Lub też za</w:t>
        <w:softHyphen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łóżmy, że ich koszty produkcji zmieniają się zgodnie z rozkładem gruboogonowym.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Jeśli cena wina na rynkach międzynarodowych wzrośnie o 40%, wtedy korzyści będą oczywiste. Gdyby jednak cena spadła w jedna</w:t>
        <w:softHyphen/>
        <w:t>kowym stopniu, o 40%, przyniosłoby to ogromne straty, znacznie większe niż korzyści przy tym samym, co do skali, wzroście cen. Ekspozycję charakteryzują w tym przypadku wklęsłości - silne wklęsłości.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Jasnym więc jest, że gdyby cena spadła o 90%, to efekt byłby ka</w:t>
        <w:softHyphen/>
        <w:t>tastrofalny. Po prostu wyobraźcie sobie, co stałoby się z waszym go</w:t>
        <w:softHyphen/>
        <w:t>spodarstwem domowym, gdyby dotknęła je nagła i nieprzewidziana obniżka wynagrodzenia o 40%. W rzeczy samej, obserwowaliśmy na przestrzeni historii problemy krajów, które specjalizowały się pro</w:t>
        <w:softHyphen/>
        <w:t>dukcji pewnych towarów, surowców i płodów rolnych, które okazy</w:t>
        <w:softHyphen/>
        <w:t>wały się być nie dość, że niestabilne, to skrajnie niestabilne. A kata</w:t>
        <w:softHyphen/>
        <w:t>strofa niekoniecznie musi być wynikiem zmienności cen, ale może być rezultatem problemów w produkcji: produkcja rolna może ustać z powodu zarazków, złej pogody lub jakiejś innej przeszkody.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Zły urodzaj, jak ten, który był przyczyną wywołanego brakiem ziemniaków głodu w Irlandii w ciągu dekady około 1850 roku, spo</w:t>
        <w:softHyphen/>
        <w:t>wodował śmierć miliona ludzi i emigrację kolejnego miliona (cała ludność Irlandii, w momencie pisania tej książki, wynosi około 6 milionów, jeśli uwzględni się część północną). Bardzo trudno jest gruntownie odmienić posiadane zasoby - nie tak, jak w przykła</w:t>
        <w:softHyphen/>
        <w:t>dzie lekarza i sekretarki, kraje nie mają takich możliwości zmiany. Rzeczywiście, monokultura (skoncentrowanie się na jednej uprawie) okazała się zabójcza w historii - jeden zły urodzaj powoduje wynisz</w:t>
        <w:softHyphen/>
        <w:t>czający głód.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Jeszcze jedna różnica w stosunku do przykładu lekarza i sekre</w:t>
        <w:softHyphen/>
        <w:t>tarki polega na tym, że kraje nie mają rodziny ani przyjaciół. Lekarz może liczyć na wsparcie ze strony społeczności, kręgu przyjaciół, ko</w:t>
        <w:softHyphen/>
        <w:t>lektywu, który dba o niego, teścia, od którego może wziąć pożycz</w:t>
        <w:softHyphen/>
        <w:t xml:space="preserve">kę w przypadku, gdyby chciał zmienić profesję, państwa nad sobą,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które w razie czego udzieli pomocy. Kraje nie mają tego wszystkiego. Co więcej, lekarz ma oszczędności; krajesąraczej dłużnikami.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290" w:lineRule="auto"/>
        <w:ind w:left="0" w:right="0" w:firstLine="48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Znowu więc napotykamy na kruchość ze względu na efekty drugiego rzędu.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Jak działa specjalizacja: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Czytelnik nie powinien interpretować tego co mówię w ten sposób, żespecjalizacja nie jest dobra - mówię je</w:t>
        <w:softHyphen/>
        <w:t>dynie tyle, że powinno się określać specjalizację, biorąc pod uwagę kwestie kruchości i efektów drugiego rzędu. Obecnie sądzę, że Ricar</w:t>
        <w:softHyphen/>
        <w:t>do ma absolutnie rację, ale nie wynika to z zaprezentowanych przez niego modeli. W sposób organiczny, systemy pozbawione odgórnego sterowania podlegałyby specjalizacji stopniowo, powoli i w długim okresie, metodą prób i błędów, aż do osiągnięcia właściwego poziomu specj lizacji - a nie przez to, że jakiś biurok at stosowałby model. Powtórzmy, systemy robią małe błędy, projektowanie popełnia duże.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40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Stąd, decyzje społecznego planisty ściśle oparte na wyrastającym z intuicji modelu Ricardo doprowadziłyby do katastrofy; pogo</w:t>
        <w:softHyphen/>
        <w:t>dzenie się z powolnym procesem eksperymentowaniaefektywność przyniosłoby efektywność - prawdziwą efektywność.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9" w:name="bookmark29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BARDZIEJ OGÓ LNA METODOLOGIA WYKRYWANIA</w:t>
        <w:br/>
        <w:t>BŁĘDÓW MODELU</w:t>
      </w:r>
      <w:bookmarkEnd w:id="2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Efekty drugiego rzędu w modelu i kruchość: Załóżmy, że mamy właściwy model (co jest bardzo daleko idącym założeniem), ale nie mamypewności, co do wartości parametrów. Uogólniając przykład z deficytem/bezrobociem, użyty w poprzednim punkcie, przyjmij- my, że posługujemy się funkcją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>,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zdefiniowaną w prosty sposób: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f(x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\a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j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gdzie zakłada się, że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wartością oczekiwaną zmien</w:t>
        <w:softHyphen/>
        <w:t xml:space="preserve">nej wejściowej i gdzie przyjmujemy, że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p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rozkładem zmiennej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a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w dziedzinie </w:t>
      </w:r>
      <w:r>
        <w:rPr>
          <w:color w:val="020404"/>
          <w:spacing w:val="0"/>
          <w:w w:val="100"/>
          <w:position w:val="0"/>
          <w:shd w:val="clear" w:color="auto" w:fill="auto"/>
          <w:lang w:val="pl-PL" w:eastAsia="pl-PL" w:bidi="pl-PL"/>
        </w:rPr>
        <w:t>^„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</w:t>
      </w:r>
      <w:r>
        <w:rPr>
          <w:rFonts w:ascii="Arial" w:eastAsia="Arial" w:hAnsi="Arial" w:cs="Arial"/>
          <w:i/>
          <w:iCs/>
          <w:color w:val="020404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=</w:t>
      </w:r>
      <w:r>
        <w:rPr>
          <w:rFonts w:ascii="Arial" w:eastAsia="Arial" w:hAnsi="Arial" w:cs="Arial"/>
          <w:color w:val="020404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 = </w:t>
      </w:r>
      <w:r>
        <w:rPr>
          <w:color w:val="020404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f </w:t>
      </w:r>
      <w:r>
        <w:rPr>
          <w:i/>
          <w:iCs/>
          <w:color w:val="020404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 ty(ad da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center"/>
      </w:pPr>
      <w:r>
        <w:rPr>
          <w:color w:val="020404"/>
          <w:spacing w:val="0"/>
          <w:w w:val="100"/>
          <w:position w:val="0"/>
          <w:shd w:val="clear" w:color="auto" w:fill="auto"/>
          <w:lang w:val="pl-PL" w:eastAsia="pl-PL" w:bidi="pl-PL"/>
        </w:rPr>
        <w:t>-I«</w:t>
      </w: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Kamień filozoficzny: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Już samo to, że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ma charakter losowy (pod</w:t>
        <w:softHyphen/>
        <w:t xml:space="preserve">lega estymacji) mogłoby doprowadzić do obciążenia wyniku, gdy- byśmy zadalizakłócenie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od wewnątrz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(całki), tzn. uczynili stocha</w:t>
        <w:softHyphen/>
        <w:t xml:space="preserve">stycznym parametr uważany do tej pory za stały. Odpowiednio, obciąźenie z tytułu wypukłości moa być łatwo zmierzone jako różnica między (a) wartością funkcji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scałkowancj po wszystkich wartościach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(b) wartością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dla pojedynczego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przyjętego jako średnia jegowartość. Obciążenie z tytułu wypukłości (kamień filo</w:t>
        <w:softHyphen/>
        <w:t xml:space="preserve">zoficzny)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"A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wynosi więc:</w:t>
      </w:r>
    </w:p>
    <w:p>
      <w:pPr>
        <w:pStyle w:val="Style55"/>
        <w:keepNext/>
        <w:keepLines/>
        <w:widowControl w:val="0"/>
        <w:shd w:val="clear" w:color="auto" w:fill="auto"/>
        <w:tabs>
          <w:tab w:pos="2599" w:val="left"/>
        </w:tabs>
        <w:bidi w:val="0"/>
        <w:spacing w:before="0" w:line="240" w:lineRule="auto"/>
        <w:ind w:left="0" w:right="0" w:firstLine="0"/>
        <w:jc w:val="center"/>
        <w:rPr>
          <w:sz w:val="19"/>
          <w:szCs w:val="19"/>
        </w:rPr>
      </w:pPr>
      <w:bookmarkStart w:id="31" w:name="bookmark31"/>
      <w:r>
        <w:rPr>
          <w:b w:val="0"/>
          <w:bCs w:val="0"/>
          <w:color w:val="020404"/>
          <w:spacing w:val="0"/>
          <w:w w:val="100"/>
          <w:position w:val="0"/>
          <w:sz w:val="30"/>
          <w:szCs w:val="30"/>
          <w:shd w:val="clear" w:color="auto" w:fill="auto"/>
          <w:lang w:val="pl-PL" w:eastAsia="pl-PL" w:bidi="pl-PL"/>
        </w:rPr>
        <w:t>■U.</w:t>
      </w:r>
      <w:r>
        <w:rPr>
          <w:b w:val="0"/>
          <w:bCs w:val="0"/>
          <w:i/>
          <w:iCs/>
          <w:color w:val="020404"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f</w:t>
      </w:r>
      <w:r>
        <w:rPr>
          <w:b w:val="0"/>
          <w:bCs w:val="0"/>
          <w:color w:val="020404"/>
          <w:spacing w:val="0"/>
          <w:w w:val="100"/>
          <w:position w:val="0"/>
          <w:sz w:val="30"/>
          <w:szCs w:val="30"/>
          <w:shd w:val="clear" w:color="auto" w:fill="auto"/>
          <w:lang w:val="pl-PL" w:eastAsia="pl-PL" w:bidi="pl-PL"/>
        </w:rPr>
        <w:t xml:space="preserve"> (4 “&gt;(“)</w:t>
        <w:tab/>
      </w:r>
      <w:r>
        <w:rPr>
          <w:b w:val="0"/>
          <w:bCs w:val="0"/>
          <w:i/>
          <w:iCs/>
          <w:color w:val="020404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 (</w:t>
      </w:r>
      <w:r>
        <w:rPr>
          <w:b w:val="0"/>
          <w:bCs w:val="0"/>
          <w:color w:val="020404"/>
          <w:spacing w:val="0"/>
          <w:w w:val="100"/>
          <w:position w:val="0"/>
          <w:sz w:val="30"/>
          <w:szCs w:val="30"/>
          <w:shd w:val="clear" w:color="auto" w:fill="auto"/>
          <w:lang w:val="pl-PL" w:eastAsia="pl-PL" w:bidi="pl-PL"/>
        </w:rPr>
        <w:t xml:space="preserve">J (£.» «•&lt;«) </w:t>
      </w:r>
      <w:r>
        <w:rPr>
          <w:b w:val="0"/>
          <w:bCs w:val="0"/>
          <w:i/>
          <w:iCs/>
          <w:color w:val="020404"/>
          <w:spacing w:val="0"/>
          <w:w w:val="100"/>
          <w:position w:val="0"/>
          <w:sz w:val="19"/>
          <w:szCs w:val="19"/>
          <w:shd w:val="clear" w:color="auto" w:fill="auto"/>
          <w:vertAlign w:val="superscript"/>
          <w:lang w:val="pl-PL" w:eastAsia="pl-PL" w:bidi="pl-PL"/>
        </w:rPr>
        <w:t>d</w:t>
      </w:r>
      <w:r>
        <w:rPr>
          <w:b w:val="0"/>
          <w:bCs w:val="0"/>
          <w:i/>
          <w:iCs/>
          <w:color w:val="020404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“</w:t>
      </w:r>
      <w:bookmarkEnd w:id="3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Główne równanie: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Kruchość jest jedynie częściowym kamieniem filozoficznym poniżej punktu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K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dlatego brakująca kruchość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rn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wyznaczona przezporównanie wartości dwóch całek poniżej punktu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K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ażeby uchwycić oddziaływanie na lewy ogon rozkładu: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co może być aproksymowane w drodze interpolacji, z wykorzysta</w:t>
        <w:softHyphen/>
        <w:t xml:space="preserve">niem dwóch wartości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oddzielonych od punktu środkowego o A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średnie odchylenie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vertAlign w:val="superscript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, a następnie wyznaczając: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078" w:val="left"/>
          <w:tab w:pos="2599" w:val="left"/>
          <w:tab w:pos="3076" w:val="left"/>
        </w:tabs>
        <w:bidi w:val="0"/>
        <w:spacing w:before="0" w:after="0" w:line="240" w:lineRule="auto"/>
        <w:ind w:left="1180" w:right="0" w:firstLine="0"/>
        <w:jc w:val="both"/>
      </w:pPr>
      <w:r>
        <mc:AlternateContent>
          <mc:Choice Requires="wps">
            <w:drawing>
              <wp:anchor distT="0" distB="0" distL="50800" distR="50800" simplePos="0" relativeHeight="125829402" behindDoc="0" locked="0" layoutInCell="1" allowOverlap="1">
                <wp:simplePos x="0" y="0"/>
                <wp:positionH relativeFrom="page">
                  <wp:posOffset>2998470</wp:posOffset>
                </wp:positionH>
                <wp:positionV relativeFrom="paragraph">
                  <wp:posOffset>50800</wp:posOffset>
                </wp:positionV>
                <wp:extent cx="1161415" cy="247015"/>
                <wp:wrapSquare wrapText="left"/>
                <wp:docPr id="66" name="Shape 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61415" cy="2470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pl-PL" w:eastAsia="pl-PL" w:bidi="pl-PL"/>
                              </w:rPr>
                              <w:t xml:space="preserve">a))dx-J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pl-PL" w:eastAsia="pl-PL" w:bidi="pl-PL"/>
                              </w:rPr>
                              <w:t>f(x\a)dx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236.09999999999999pt;margin-top:4.pt;width:91.450000000000003pt;height:19.449999999999999pt;z-index:-125829351;mso-wrap-distance-left:4.pt;mso-wrap-distance-right:4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 xml:space="preserve">a))dx-J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f(x\a)dx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f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1 </w:t>
      </w:r>
      <w:r>
        <w:rPr>
          <w:color w:val="000000"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Z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.</w:t>
        <w:tab/>
        <w:t>_</w:t>
        <w:tab/>
        <w:t>.</w:t>
        <w:tab/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 w:line="18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"a(R) = £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o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-(/(^|a+Aa)+/(x|a-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" w:line="283" w:lineRule="auto"/>
        <w:ind w:left="0" w:right="0" w:firstLine="400"/>
        <w:jc w:val="both"/>
        <w:rPr>
          <w:sz w:val="19"/>
          <w:szCs w:val="19"/>
        </w:rPr>
      </w:pP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Zauważmy, że antykruchość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rnC</w:t>
      </w: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 jest wyznaczana poprzez całko</w:t>
        <w:softHyphen/>
        <w:t xml:space="preserve">wanie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K</w:t>
      </w: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 do nieskończoności. Możemy badać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rn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vertAlign w:val="subscript"/>
          <w:lang w:val="pl-PL" w:eastAsia="pl-PL" w:bidi="pl-PL"/>
        </w:rPr>
        <w:t>B</w:t>
      </w: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, przeprowadza</w:t>
        <w:softHyphen/>
        <w:t xml:space="preserve">jąc estymację punktowąwartości funkcji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f</w:t>
      </w:r>
      <w:r>
        <w:rPr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 dla poziomów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 &lt; K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" w:line="410" w:lineRule="auto"/>
        <w:ind w:left="0" w:right="0" w:firstLine="660"/>
        <w:jc w:val="both"/>
      </w:pPr>
      <w:r>
        <w:rPr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^X)Ą(f(X\d+ba)+f(X\d-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a))-/(X|a)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a stąd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60" w:line="360" w:lineRule="auto"/>
        <w:ind w:left="0" w:right="0" w:firstLine="0"/>
        <w:jc w:val="center"/>
        <w:rPr>
          <w:sz w:val="22"/>
          <w:szCs w:val="22"/>
        </w:rPr>
      </w:pPr>
      <w:r>
        <w:rPr>
          <w:i/>
          <w:iCs/>
          <w:smallCap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cd</w:t>
      </w:r>
      <w:r>
        <w:rPr>
          <w:i/>
          <w:iCs/>
          <w:smallCaps/>
          <w:color w:val="000000"/>
          <w:spacing w:val="0"/>
          <w:w w:val="100"/>
          <w:position w:val="0"/>
          <w:sz w:val="20"/>
          <w:szCs w:val="20"/>
          <w:shd w:val="clear" w:color="auto" w:fill="auto"/>
          <w:vertAlign w:val="subscript"/>
          <w:lang w:val="pl-PL" w:eastAsia="pl-PL" w:bidi="pl-PL"/>
        </w:rPr>
        <w:t>b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 (K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) =1 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a&gt;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vertAlign w:val="subscript"/>
          <w:lang w:val="pl-PL" w:eastAsia="pl-PL" w:bidi="pl-PL"/>
        </w:rPr>
        <w:t>B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 (x)dx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co prowadzi nas do heurystyki wykrywania kruchości (Taleb, Canet- ti, et al., 2012). W szczególności, jeśli założymy, że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m’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B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ma stały znak dla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 &lt; K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wtedy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B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(K)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jest tego samego znaku. Heurystyka wykrywania kruchości polega na stosowaniu perturbacji w ogonach rozkładu do testowania kruchości, poprzez sprawdzanie wartości funkcji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m’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B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(X)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dla dowolnego poziomu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X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>Tabela 12.</w:t>
      </w:r>
    </w:p>
    <w:tbl>
      <w:tblPr>
        <w:tblOverlap w:val="never"/>
        <w:jc w:val="center"/>
        <w:tblLayout w:type="fixed"/>
      </w:tblPr>
      <w:tblGrid>
        <w:gridCol w:w="1603"/>
        <w:gridCol w:w="2352"/>
        <w:gridCol w:w="1992"/>
      </w:tblGrid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mallCaps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ŹRÓDŁO KRUCHOŚCI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REMEDIUM</w:t>
            </w:r>
          </w:p>
        </w:tc>
      </w:tr>
      <w:tr>
        <w:trPr>
          <w:trHeight w:val="25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Teoria portfelowa, analiza średnio- wariacyjna itp.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Zakłada znajomość wartości parametrów, nie całkuje modeli po wszystkich możliwych wartościach parametrów, opiera się na (bardzo niestabilnych) korelacjach. Zakłada, że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 (obciążenie) i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oy,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(kruchość) = 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1/n (rozkładaj swoje ekspozycje na tak dużą ich liczbę, jak to możliwe, sztangi, stopniowy i organiczny proces budowania itp</w:t>
            </w:r>
          </w:p>
        </w:tc>
      </w:tr>
      <w:tr>
        <w:trPr>
          <w:trHeight w:val="18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Teoria przewag komparatywnych Ricardo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Pominięcie losowości w przypadku ceny wina może powodować całkowite odwrócenie alokacji. Zakłada, że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 (obciążenie) i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m^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(kruchość) = 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Systemy naturalne znajdują własne wzorce alokacji metodą eksperymentowania</w:t>
            </w:r>
          </w:p>
        </w:tc>
      </w:tr>
      <w:tr>
        <w:trPr>
          <w:trHeight w:val="15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Optymalizacja według Samuelsona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Źródła losowości skoncentrowane we wklęsłości funkcji straty. Zakłada, że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 (obciążenie) i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m^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(kruchość) = 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Szersze uwzględnienie losowości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603"/>
        <w:gridCol w:w="2352"/>
        <w:gridCol w:w="1992"/>
      </w:tblGrid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Model Arrow - Debreu, kraty, modele przestrzenie stanów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Komiczny błąd: zakłada się doskonałą znajomość wszystkich wyników i prawdopodobieństw.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Wprowadzenie meta- prawdopodobieństw zmienia całkowicie wskazania modelu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Modele dywidendy, przepływów pieniężnych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Pomijanie stochastyczności powoduje efekty wypukłości. Zwykle zakładają </w:t>
            </w:r>
            <w:r>
              <w:rPr>
                <w:i/>
                <w:iCs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 xml:space="preserve">m^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(antykruchość) = 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Heurystyka</w:t>
            </w:r>
          </w:p>
        </w:tc>
      </w:tr>
    </w:tbl>
    <w:p>
      <w:pPr>
        <w:widowControl w:val="0"/>
        <w:spacing w:after="159" w:line="1" w:lineRule="exact"/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Błędy teorii portfelowej: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Zwróćmy uwagę na błędne rozumowa</w:t>
        <w:softHyphen/>
        <w:t>nie wyznawców Markowitza: teoria portfelowa kusi ludzi dywersy</w:t>
        <w:softHyphen/>
        <w:t>fikacją, bo to lepsze niż nic. Otóż nie tak, wy finansowi głupcy: skłania ich do optymalizacji, a więc do nadmiernej alokacji. Nie nakłania ona ludzi do mniej ryzykownych zachowań poprzez dywer</w:t>
        <w:softHyphen/>
        <w:t>syfikację, ale powoduje, że zajmują bardziej otwarte pozycje, sądząc, że są zabezpieczeni statystycznymi własnościami modelu - to czyni ich wrażliwymi na błąd modelu, zaś szczególnie wrażliwymi na nie</w:t>
        <w:softHyphen/>
        <w:t>doszacowanie rzadkich zdarzeń. By przekonać się, jak bardzo, roz</w:t>
        <w:softHyphen/>
        <w:t xml:space="preserve">ważmy dwóch inwestorów, stojących w obliczu wyboru alokacji, spośród trzech pozycji: gotówka oraz papiery wartościowe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. Inwestor, który nie zna własności statystycznych papierów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i wie, że ich nie zna, zainwestuje - powiedzmy - część, której nie chce stracić w gotówkę, a resztę w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- zgodnie z jakąkolwiek będącą tradycyjnie w użyciu wiedzą praktyczną. Inwestor, który uważa, że zna owe własności statystyczne, zawarte w parametrach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p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AB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dokona alokacji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w taki sposób, żeby osiągnąć łączne ryzyko na pewnym docelowym poziomie (pomińmy oczeki</w:t>
        <w:softHyphen/>
        <w:t xml:space="preserve">wany zwrot z tej alokacji). Im niższe jego postrzeganie korelacji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p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AB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tym gorsza jego ekspozycja na ryzyko modelu. Zakładając, że uważa on korelację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p</w:t>
      </w:r>
      <w:r>
        <w:rPr>
          <w:i/>
          <w:iCs/>
          <w:spacing w:val="0"/>
          <w:w w:val="100"/>
          <w:position w:val="0"/>
          <w:shd w:val="clear" w:color="auto" w:fill="auto"/>
          <w:vertAlign w:val="subscript"/>
          <w:lang w:val="pl-PL" w:eastAsia="pl-PL" w:bidi="pl-PL"/>
        </w:rPr>
        <w:t>AB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za równą 0, dokona on alokacji nadmiernej o % dla skrajnych zdarzeń. Ale jeśli ten biedny inwestor kieruje się iluzją, że ta korelacja wynosi - 1, zrealizuje nadmierną alokację w maksy</w:t>
        <w:softHyphen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malnym stopniu względem aktywów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B</w:t>
      </w:r>
      <w:r>
        <w:rPr>
          <w:i/>
          <w:iCs/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Jeśli ten inwestor po</w:t>
        <w:softHyphen/>
        <w:t>sługuje się dźwignią finansową, dochodzimy do historii Long Term Capital Management, który dał się zmylić wartościom parametrów. (W rzeczywistości, w odróżnieniu od prac ekonomicznych, wszyst</w:t>
        <w:softHyphen/>
        <w:t xml:space="preserve">ko może się zmieniać; i zmienia się, na Baala!). Możemy powtórzyć to rozumowania dla każdego parametru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i przekonać się, jak ob</w:t>
        <w:softHyphen/>
        <w:t xml:space="preserve">niżona percepcja wartości tego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prowadzi do nadmiernej alokacji.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Zauważyłem to jako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trader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- i stało się to moją obsesją - że kore</w:t>
        <w:softHyphen/>
        <w:t>lacje nigdy nie były takie same dla różnych pomiarów. Powiedzenie, że były niestabilne, to za mało: 0,8 na przestrzeni długiego okresu staje się - 0,2 w kolejnym długim okresie. Frajerska gra w czystej postaci. W czasach napięć na rynkach, korelacje podlegają nawet bardziej gwałtownym zmianom - bez jakiejkolwiek godnej zaufania regularności, wbrew próbom modelowania „korelacji w okresie na</w:t>
        <w:softHyphen/>
        <w:t>pięć”. Taleb (1997) zajmuje się efektem stochastycznych korelacji: bezpieczną strategią jest skracanie pozycji przy korelacji na poziomie 1 i ponowne kupowanie przy poziomie - 1 - to z grubsza odpowia</w:t>
        <w:softHyphen/>
        <w:t>da temu, jak działa heurystyczna metoda 1/n.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Kryterium Kelly’ego a Markowitz: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Ażeby zastosować w pełni optymalizację a la Markowitz, trzeba w całości znać łączny rozkład prawdopodobieństwa wszystkich aktywów w przyszłości, a dodatko</w:t>
        <w:softHyphen/>
        <w:t>wo dokładną postać funkcji użyteczności dla bogactwa dla wszyst</w:t>
        <w:softHyphen/>
        <w:t>kich przyszłych okresów. I to bez żadnych błędów! (Widzieliśmy, że błędy estymacji powodują eksplozję systemu). Metoda Kelly’ego, opracowana w mniej więcej tym samym okresie, nie wymaga zna</w:t>
        <w:softHyphen/>
        <w:t>jomości łącznego rozkładu ani funkcji użyteczności. W praktyce, to co niezbędne, to relacja oczekiwanych zysków do najgorszego ak</w:t>
        <w:softHyphen/>
        <w:t>ceptowanego zwrotu - dostosowywane dynamicznie, dla uniknięcia całkowitej ruiny. W przypadku transformacji typ sztanga, najgorszy akceptowany zwrot jest zagwarantowany. I błąd modelu jest znacz</w:t>
        <w:softHyphen/>
        <w:t>nie, ale to znacznie bardziej umiarkowany w przypadku kryterium Kelly’ego. Thorp (1971, 1998), Haigh (2000).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Godny respektu Aaron Brown utrzymuje, że koncepcje Kelly’ego zostały odrzucone przez ekonomistów — mimo ich praktycznej atrakcyjności - ponieważ uwielbiają oni ogólne teorie, obejmujące ceny wszystkich aktywów.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Zauważmy, że podejście ograniczonych prób i błędów jest zgod</w:t>
        <w:softHyphen/>
        <w:t>ne z kryterium Kelly’ego, kiedy ma się wyobrażenie, co do poten</w:t>
        <w:softHyphen/>
        <w:t>cjalnego zwrotu - ale nawet, jeśli ktoś nie ma pojęcia co do zwrotu, jeśli tylko straty są ograniczone, efekt będzie odporny i metoda po</w:t>
        <w:softHyphen/>
        <w:t>winna dostarczyć lepszych wyników niż podejście wyznawcy kru</w:t>
        <w:softHyphen/>
        <w:t>chości, Markowitza.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Finansowanie przedsiębiorstw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[ang.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corporate finance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- przyp. tłum.]</w:t>
      </w: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mówiąc w skrócie, finansowanie przedsiębiorstw opiera się, jak się zdaje, na prognozach punktowych, nie zaś na prognozach roz</w:t>
        <w:softHyphen/>
        <w:t>kładów; stąd, jeżeli zadaje się perturbacje prognoz przepływów pie</w:t>
        <w:softHyphen/>
        <w:t>niężnych, powiedzmy w modelu wyceny Gordona, poprzez zamia</w:t>
        <w:softHyphen/>
        <w:t>nę ustalonego - i znanego - wzrostu (a także innych parametrów) na zmieniane w sposób ciągły przyrosty (szczególnie w przypadku rozkładów gruboogonowych), to firmy robiące wrażenie „kosztow</w:t>
        <w:softHyphen/>
        <w:t>nych” lub charakteryzujące się szybkim wzrostem, ale mające niskie przychody, mogłyby znacznie zwiększyć swoją oczekiwaną wartość, a więc coś, co rynek wycenia heurystycznie, bez żadnych wyraźnych przyczyn.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Wniosek i podsumowanie: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Coś, co establishment ekonomiczny zwykł pomijać, to sytuacja, w której mając właściwy model (co jest bardzo daleko idącym założeniem), ale zachowując niepewność co do wartości parametrów, będzie w konsekwencji niezmiennie prowadzić do wzrostu kruchości, przy występowaniu wypukłości i nieliniowości.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both"/>
      </w:pPr>
      <w:bookmarkStart w:id="33" w:name="bookmark33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Dajmy sobie spokój z małymi prawdopodobieństwami</w:t>
      </w:r>
      <w:bookmarkEnd w:id="3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 w:line="290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A teraz istota sprawy - wychodząc poza ekonomię - a mianowicie bardziej ogólny problem z prawdopodobieństwem i jego błędnym pomiarem.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5" w:lineRule="auto"/>
        <w:ind w:left="0" w:right="0" w:firstLine="0"/>
        <w:jc w:val="center"/>
      </w:pPr>
      <w:bookmarkStart w:id="35" w:name="bookmark35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JAK GRUBE OGONY (EKSTREMISTAN) BIORĄ SIĘ</w:t>
        <w:br/>
        <w:t>Z NIELINIOWYCH REAKCJI NA PARAMETRY MODELU</w:t>
      </w:r>
      <w:bookmarkEnd w:id="3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Rzadkie zdarzenia mają pewną właściwość - były pomijane do mo</w:t>
        <w:softHyphen/>
        <w:t>mentu pisania tej książki. Im więcej niepewności co do wartości parametrów występuje w modelu przeznaczonym do wyznaczania prawdopodobieństw, tym silniejsza tendencja do niedoszacowania małych prawdopodobieństw. Po prostu, małe prawdopodobień</w:t>
        <w:softHyphen/>
        <w:t>stwa są wypukłe względem błędów obliczeniowych, tak jak przelot samolotu jest wypukły względem błędów i zakłóceń (pamiętajmy, że przelot będzie trwał dłużej, nie krócej). Im więcej źródeł zakłó</w:t>
        <w:softHyphen/>
        <w:t>ceń zapomni się wziąć pod uwagę, tym dłuższy będzie lot samolotu w stosunku do naiwnego szacunku.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Wszyscy wiemy, że po to, żeby obliczyć prawdopodobieństwo na podstawie klasycznego rozkładu normalnego, potrzebujemy znajomości parametru zwanego odchyleniem standardowym - lub czegoś podobnego, co charakteryzuje rozrzut lub dyspersję wyni</w:t>
        <w:softHyphen/>
        <w:t>ków. Ale efektem niepewności, odnoszącej się do owego odchylenia standardowego, jest zwiększanie się małych prawdopodobieństw. Dla przykładu, dla odchylenia zwanego „trzysigmowym” i zdarzeń, które powinny zrealizować się raz na 740 obserwacji, prawdopodo</w:t>
        <w:softHyphen/>
        <w:t xml:space="preserve">bieństwo rośnie o 60%, jeśli powiększa się odchylenie standardowe o 5%, zaś spada o 40%, jeśli zmniejszamy odchylenie standardowe o 5%. Stąd, jeśli wasz błąd to średnio zaledwie 5%, niedoszacowanie wynikające z zastosowania modelu naiwnego wyniesie około 20%. Olbrzymia asymetria, ale to jeszcze nie wszystko. Sytuacja pogarsza 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się, jeśli tropi się odchylenia „sześciosigmowe” (niestety, nagminnie częste w ekonomii): asymetria rośnie pięć razy bardziej. Im rzadsze zdarzenie (tzn. im większa „sigma”), tym gorszy efekt z tytułu nie</w:t>
        <w:softHyphen/>
        <w:t>wielkiej tak naprawdę niepewności, co do tego, co umieścić w rów</w:t>
        <w:softHyphen/>
        <w:t>naniu. Dla zdarzeń, które charakteryzują się 10 sigmami, różnica rośnie do ponad 10 miliardów. Posłużmy się następującym ciągiem myślowym by wykazać, jak coraz to mniejsze prawdopodobień</w:t>
        <w:softHyphen/>
        <w:t>stwa wymagają coraz większej dokładności obliczeń. Im mniejsze prawdopodobieństwo, w tym większym stopniu małe, nawet bar</w:t>
        <w:softHyphen/>
        <w:t>dzo małe zaokrąglenia w obliczeniach czynią asymetrię kompletnie nieistotną statystycznie. Dla maleńkich, naprawdę bardzo małych prawdopodobieństw, niezbędna jest niemal nieskończona dokład</w:t>
        <w:softHyphen/>
        <w:t>ność, co do wartości parametrów; najmniejsza tam nawet niepew</w:t>
        <w:softHyphen/>
        <w:t>ność powoduje chaos. Są one silnie wypukłe względem perturbacji. Zastosowałem te argumentację żeby, w pewny sensie, wykazać, że nie da się obliczyć małych prawdopodobieństw, nawet jeśli dysponuje się właściwym modelem - którym przecież nie dysponujemy.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Analogiczne rozumowanie odnosi się do szacowania prawdopo</w:t>
        <w:softHyphen/>
        <w:t>dobieństw metodami nieparametrycznymi, na podstawie dawnych częstości. Jeśli prawdopodobieństwo staje się bliskie 1/wielkość pró</w:t>
        <w:softHyphen/>
        <w:t>by, błąd szacunku eksploduje.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Tłumaczy to w oczywisty sposób błąd popełniony w Fukushimie. Również w przypadku Fannie Mae. Podsumowując: małe prawdo</w:t>
        <w:softHyphen/>
        <w:t>podobieństwa rosną w przyśpieszającym tempie wraz ze wzrostem parametru używanego w obliczeniach.</w:t>
      </w: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296" w:val="left"/>
        </w:tabs>
        <w:bidi w:val="0"/>
        <w:spacing w:before="0" w:after="0" w:line="305" w:lineRule="auto"/>
        <w:ind w:left="0" w:right="0" w:firstLine="0"/>
        <w:jc w:val="both"/>
        <w:rPr>
          <w:sz w:val="19"/>
          <w:szCs w:val="19"/>
        </w:rPr>
      </w:pPr>
      <w:r>
        <w:drawing>
          <wp:anchor distT="12700" distB="12700" distL="76200" distR="76200" simplePos="0" relativeHeight="125829404" behindDoc="0" locked="0" layoutInCell="1" allowOverlap="1">
            <wp:simplePos x="0" y="0"/>
            <wp:positionH relativeFrom="page">
              <wp:posOffset>671830</wp:posOffset>
            </wp:positionH>
            <wp:positionV relativeFrom="paragraph">
              <wp:posOffset>50800</wp:posOffset>
            </wp:positionV>
            <wp:extent cx="2176145" cy="1310640"/>
            <wp:wrapSquare wrapText="right"/>
            <wp:docPr id="68" name="Shap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2176145" cy="13106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 xml:space="preserve">Rys. 38.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Prawdopodo</w:t>
        <w:softHyphen/>
        <w:t>bieństwo jest wypukłe względem</w:t>
        <w:tab/>
        <w:t>odchylenia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00" w:line="310" w:lineRule="auto"/>
        <w:ind w:left="0" w:right="0" w:firstLine="0"/>
        <w:jc w:val="both"/>
        <w:rPr>
          <w:sz w:val="19"/>
          <w:szCs w:val="19"/>
        </w:rPr>
      </w:pP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standardowego w modelu Gaussa. Wykres ilustruje wpływ odchylenia standar</w:t>
        <w:softHyphen/>
        <w:t>dowego na P &gt; x i porów</w:t>
        <w:softHyphen/>
        <w:t>nuje P &gt; 6 z odchyleniem</w:t>
      </w:r>
      <w:r>
        <w:rPr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standardowym równym 1,5, z P &gt; 6, dla którego zakładamy że odchy</w:t>
        <w:softHyphen/>
        <w:t>lenie standardowe jest kom binacją lin io wą 1,2 i 1,8 (w tym przypadku a (1) = 1/5).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Niepokojące jest to, że perturbacje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wpływają naogon rozkła</w:t>
        <w:softHyphen/>
        <w:t>du w sposób wypukły; ryzyka portfela inwestycyjnego, który jest wrażliwy na ogony rozkładu, wzrosną niepomiernie. Tak więc, nadal jesteśmy w świecie Gaussa! Taka niepewność o skutkach wybucho</w:t>
        <w:softHyphen/>
        <w:t>wych nie wynika w naturalny sposób z grubych ogonów rozkładu, a jedynie z niewielkich niedokładności, co do przyszłej wartości parametru. To w istocie problem poznawczy! Toteż ci, którzy uży</w:t>
        <w:softHyphen/>
        <w:t>wają takich modeli, jednocześnie uznając istnienie niepewności co do wartości parametrów, dopuszczają się w sposób konieczny po</w:t>
        <w:softHyphen/>
        <w:t>ważnej niespójności</w:t>
      </w:r>
      <w:r>
        <w:rPr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footnoteReference w:id="2"/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Oczywiście, niepewność eksploduje nawet bardziej, kiedy od</w:t>
        <w:softHyphen/>
        <w:t>twarzamy nie-Gaussowskie warunki świata rzeczywistego, poddając perturbacjom wykładniki ogonowe. Nawet w przypadku rozkładu potęgowego, rezultaty sądotkliwe, szczególnie z tytułu zmienności wykładnika ogonowego, ponieważ ma to ogromne konsekwencje. Tak naprawdę, grub ogon oznaczają niemożność wyliczenia rzad</w:t>
        <w:softHyphen/>
        <w:t>kich zdarzeń, i niewiele więcej.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37" w:name="bookmark37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WZMAGAJĄC NIEPEWNOŚĆ (FUKUSHIMA)</w:t>
      </w:r>
      <w:bookmarkEnd w:id="3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Korzystając z wcześniejszego stwierdzenia, że estymacja pociąga za sobą błąd, rozszerzmy to rozumowanie: błędy obarczone są błę</w:t>
        <w:softHyphen/>
        <w:t>dami; te z kolei mają błędy. Biorąc ten efekt pod uwagę, wszystkie małe prawdopodobieństwa rosną niezależnie od stosowanego mo</w:t>
        <w:softHyphen/>
        <w:t>delu - nawet w modelu Gaussa - aż do momentu osiągnięcia gru</w:t>
        <w:softHyphen/>
        <w:t>bych ogonów i wystąpienia efektów potęgowych (nawet tak zwanej nieskończonej wariancji), kiedy efekty niepewności wyższych rzę</w:t>
        <w:softHyphen/>
        <w:t>dów są duże. Będzie tak nawet biorąc standardowy rozkład Gaus</w:t>
        <w:softHyphen/>
        <w:t xml:space="preserve">sa z odchyleniem standardowym </w:t>
      </w:r>
      <w:r>
        <w:rPr>
          <w:i/>
          <w:iCs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o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, które ma proporcjonalny błąd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(1);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(1) ma z kolei błąd rzędu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(2) itd. Błąd zależy więc od stopy zmian błędu, przechodząc od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n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 xml:space="preserve">-1) do 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a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(</w:t>
      </w:r>
      <w:r>
        <w:rPr>
          <w:i/>
          <w:iCs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n</w:t>
      </w: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); jeśli są to stałe propor</w:t>
        <w:softHyphen/>
        <w:t>cje, to wtedy zbiegamy do rozkładu z bardzo grubym ogonem. Jeśli te proporcjonalne błędy zmniejszają się, nadal mamy do czynienia z grubymi ogonami. Jaki by to nie był przypadek, błąd nie jest ko</w:t>
        <w:softHyphen/>
        <w:t>rzystnym czynnikiem dla małego prawdopodobieństwa.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To smutne, że skłonienie ludzi do zrozumienia, że każda mia</w:t>
        <w:softHyphen/>
        <w:t>ra obarczona jest błędem, jest niemal niemożliwe - katastrofa w Fukushimie, co do której sądzono, że może zdarzyć się raz na mi</w:t>
        <w:softHyphen/>
        <w:t>lion lat, mogła mieć przypisane prawdopodobieństwo wystąpienia raz na 30 lat, gdyby odpowiednio przefiltrowano różne warstwy niepewności.</w:t>
      </w:r>
    </w:p>
    <w:sectPr>
      <w:headerReference w:type="default" r:id="rId59"/>
      <w:footerReference w:type="default" r:id="rId60"/>
      <w:headerReference w:type="even" r:id="rId61"/>
      <w:footerReference w:type="even" r:id="rId62"/>
      <w:headerReference w:type="first" r:id="rId63"/>
      <w:footerReference w:type="first" r:id="rId64"/>
      <w:footnotePr>
        <w:pos w:val="pageBottom"/>
        <w:numFmt w:val="upperRoman"/>
        <w:numStart w:val="1"/>
        <w:numRestart w:val="continuous"/>
        <w15:footnoteColumns w:val="1"/>
      </w:footnotePr>
      <w:pgSz w:w="7934" w:h="11563"/>
      <w:pgMar w:top="1164" w:right="937" w:bottom="1010" w:left="945" w:header="0" w:footer="3" w:gutter="0"/>
      <w:cols w:space="720"/>
      <w:noEndnote/>
      <w:titlePg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2423160</wp:posOffset>
              </wp:positionH>
              <wp:positionV relativeFrom="page">
                <wp:posOffset>6898640</wp:posOffset>
              </wp:positionV>
              <wp:extent cx="189230" cy="88265"/>
              <wp:wrapNone/>
              <wp:docPr id="48" name="Shape 4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923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4" type="#_x0000_t202" style="position:absolute;margin-left:190.80000000000001pt;margin-top:543.20000000000005pt;width:14.9pt;height:6.95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2426970</wp:posOffset>
              </wp:positionH>
              <wp:positionV relativeFrom="page">
                <wp:posOffset>6892925</wp:posOffset>
              </wp:positionV>
              <wp:extent cx="179705" cy="88265"/>
              <wp:wrapNone/>
              <wp:docPr id="74" name="Shape 7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970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0" type="#_x0000_t202" style="position:absolute;margin-left:191.09999999999999pt;margin-top:542.75pt;width:14.15pt;height:6.9500000000000002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14"/>
          <w:szCs w:val="14"/>
          <w:shd w:val="clear" w:color="auto" w:fill="auto"/>
          <w:vertAlign w:val="superscript"/>
          <w:lang w:val="pl-PL" w:eastAsia="pl-PL" w:bidi="pl-PL"/>
        </w:rPr>
        <w:footnoteRef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14"/>
          <w:szCs w:val="14"/>
          <w:shd w:val="clear" w:color="auto" w:fill="auto"/>
          <w:lang w:val="pl-PL" w:eastAsia="pl-PL" w:bidi="pl-PL"/>
        </w:rPr>
        <w:t xml:space="preserve"> Idąc dalej, pokazuje to wady koncepcji „niepewności w sensie Knighta”, ponieważ skoro </w:t>
      </w:r>
      <w:r>
        <w:rPr>
          <w:rFonts w:ascii="Times New Roman" w:eastAsia="Times New Roman" w:hAnsi="Times New Roman" w:cs="Times New Roman"/>
          <w:i/>
          <w:iCs/>
          <w:spacing w:val="0"/>
          <w:w w:val="100"/>
          <w:position w:val="0"/>
          <w:sz w:val="13"/>
          <w:szCs w:val="13"/>
          <w:shd w:val="clear" w:color="auto" w:fill="auto"/>
          <w:lang w:val="pl-PL" w:eastAsia="pl-PL" w:bidi="pl-PL"/>
        </w:rPr>
        <w:t>wszyst</w:t>
        <w:softHyphen/>
        <w:t>kie ogony rozkładów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14"/>
          <w:szCs w:val="14"/>
          <w:shd w:val="clear" w:color="auto" w:fill="auto"/>
          <w:lang w:val="pl-PL" w:eastAsia="pl-PL" w:bidi="pl-PL"/>
        </w:rPr>
        <w:t xml:space="preserve"> podlegają niepewności z tytułu najmniejszych perturbacji a ich efekt jest dotkliwy w świecie grubych ogonów, tak samo jest w życiu gospodarczym.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2197100</wp:posOffset>
              </wp:positionH>
              <wp:positionV relativeFrom="page">
                <wp:posOffset>327025</wp:posOffset>
              </wp:positionV>
              <wp:extent cx="2203450" cy="100330"/>
              <wp:wrapNone/>
              <wp:docPr id="44" name="Shape 4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0345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47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mallCaps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pl-PL" w:eastAsia="pl-PL" w:bidi="pl-PL"/>
                            </w:rPr>
                            <w:t>Dodatek</w:t>
                          </w:r>
                          <w:r>
                            <w:rPr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pl-PL" w:eastAsia="pl-PL" w:bidi="pl-PL"/>
                            </w:rPr>
                            <w:t xml:space="preserve"> II</w:t>
                            <w:tab/>
                          </w: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0" type="#_x0000_t202" style="position:absolute;margin-left:173.pt;margin-top:25.75pt;width:173.5pt;height:7.900000000000000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47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smallCaps/>
                        <w:spacing w:val="0"/>
                        <w:w w:val="100"/>
                        <w:position w:val="0"/>
                        <w:shd w:val="clear" w:color="auto" w:fill="auto"/>
                        <w:lang w:val="pl-PL" w:eastAsia="pl-PL" w:bidi="pl-PL"/>
                      </w:rPr>
                      <w:t>Dodatek</w:t>
                    </w:r>
                    <w:r>
                      <w:rPr>
                        <w:spacing w:val="0"/>
                        <w:w w:val="100"/>
                        <w:position w:val="0"/>
                        <w:shd w:val="clear" w:color="auto" w:fill="auto"/>
                        <w:lang w:val="pl-PL" w:eastAsia="pl-PL" w:bidi="pl-PL"/>
                      </w:rPr>
                      <w:t xml:space="preserve"> II</w:t>
                      <w:tab/>
                    </w: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648970</wp:posOffset>
              </wp:positionH>
              <wp:positionV relativeFrom="page">
                <wp:posOffset>299720</wp:posOffset>
              </wp:positionV>
              <wp:extent cx="2511425" cy="133985"/>
              <wp:wrapNone/>
              <wp:docPr id="46" name="Shape 4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114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95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  <w:r>
                            <w:rPr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pl-PL" w:eastAsia="pl-PL" w:bidi="pl-PL"/>
                            </w:rPr>
                            <w:tab/>
                          </w:r>
                          <w:r>
                            <w:rPr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pl-PL" w:eastAsia="pl-PL" w:bidi="pl-PL"/>
                            </w:rPr>
                            <w:t>ANTYKRUCHOŚĆ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2" type="#_x0000_t202" style="position:absolute;margin-left:51.100000000000001pt;margin-top:23.600000000000001pt;width:197.75pt;height:10.55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95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  <w:r>
                      <w:rPr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pl-PL" w:eastAsia="pl-PL" w:bidi="pl-PL"/>
                      </w:rPr>
                      <w:tab/>
                    </w:r>
                    <w:r>
                      <w:rPr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pl-PL" w:eastAsia="pl-PL" w:bidi="pl-PL"/>
                      </w:rPr>
                      <w:t>ANTYKRUCHOŚĆ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2197100</wp:posOffset>
              </wp:positionH>
              <wp:positionV relativeFrom="page">
                <wp:posOffset>327025</wp:posOffset>
              </wp:positionV>
              <wp:extent cx="2203450" cy="100330"/>
              <wp:wrapNone/>
              <wp:docPr id="70" name="Shape 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0345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47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mallCaps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pl-PL" w:eastAsia="pl-PL" w:bidi="pl-PL"/>
                            </w:rPr>
                            <w:t>Dodatek</w:t>
                          </w:r>
                          <w:r>
                            <w:rPr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pl-PL" w:eastAsia="pl-PL" w:bidi="pl-PL"/>
                            </w:rPr>
                            <w:t xml:space="preserve"> II</w:t>
                            <w:tab/>
                          </w: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6" type="#_x0000_t202" style="position:absolute;margin-left:173.pt;margin-top:25.75pt;width:173.5pt;height:7.9000000000000004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47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smallCaps/>
                        <w:spacing w:val="0"/>
                        <w:w w:val="100"/>
                        <w:position w:val="0"/>
                        <w:shd w:val="clear" w:color="auto" w:fill="auto"/>
                        <w:lang w:val="pl-PL" w:eastAsia="pl-PL" w:bidi="pl-PL"/>
                      </w:rPr>
                      <w:t>Dodatek</w:t>
                    </w:r>
                    <w:r>
                      <w:rPr>
                        <w:spacing w:val="0"/>
                        <w:w w:val="100"/>
                        <w:position w:val="0"/>
                        <w:shd w:val="clear" w:color="auto" w:fill="auto"/>
                        <w:lang w:val="pl-PL" w:eastAsia="pl-PL" w:bidi="pl-PL"/>
                      </w:rPr>
                      <w:t xml:space="preserve"> II</w:t>
                      <w:tab/>
                    </w: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648970</wp:posOffset>
              </wp:positionH>
              <wp:positionV relativeFrom="page">
                <wp:posOffset>299720</wp:posOffset>
              </wp:positionV>
              <wp:extent cx="2511425" cy="133985"/>
              <wp:wrapNone/>
              <wp:docPr id="72" name="Shape 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114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95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pl-PL" w:eastAsia="pl-PL" w:bidi="pl-PL"/>
                              </w:rPr>
                              <w:t>#</w:t>
                            </w:r>
                          </w:fldSimple>
                          <w:r>
                            <w:rPr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pl-PL" w:eastAsia="pl-PL" w:bidi="pl-PL"/>
                            </w:rPr>
                            <w:tab/>
                          </w:r>
                          <w:r>
                            <w:rPr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pl-PL" w:eastAsia="pl-PL" w:bidi="pl-PL"/>
                            </w:rPr>
                            <w:t>ANTYKRUCHOŚĆ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8" type="#_x0000_t202" style="position:absolute;margin-left:51.100000000000001pt;margin-top:23.600000000000001pt;width:197.75pt;height:10.550000000000001pt;z-index:-1887440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95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pl-PL" w:eastAsia="pl-PL" w:bidi="pl-PL"/>
                        </w:rPr>
                        <w:t>#</w:t>
                      </w:r>
                    </w:fldSimple>
                    <w:r>
                      <w:rPr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pl-PL" w:eastAsia="pl-PL" w:bidi="pl-PL"/>
                      </w:rPr>
                      <w:tab/>
                    </w:r>
                    <w:r>
                      <w:rPr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pl-PL" w:eastAsia="pl-PL" w:bidi="pl-PL"/>
                      </w:rPr>
                      <w:t>ANTYKRUCHOŚĆ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Footnote_"/>
    <w:basedOn w:val="DefaultParagraphFont"/>
    <w:link w:val="Style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character" w:customStyle="1" w:styleId="CharStyle7">
    <w:name w:val="Body text (5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8"/>
      <w:szCs w:val="8"/>
      <w:u w:val="none"/>
    </w:rPr>
  </w:style>
  <w:style w:type="character" w:customStyle="1" w:styleId="CharStyle9">
    <w:name w:val="Picture caption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1"/>
      <w:szCs w:val="11"/>
      <w:u w:val="none"/>
    </w:rPr>
  </w:style>
  <w:style w:type="character" w:customStyle="1" w:styleId="CharStyle12">
    <w:name w:val="Body text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15">
    <w:name w:val="Heading #1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86"/>
      <w:szCs w:val="86"/>
      <w:u w:val="none"/>
    </w:rPr>
  </w:style>
  <w:style w:type="character" w:customStyle="1" w:styleId="CharStyle17">
    <w:name w:val="Heading #3_"/>
    <w:basedOn w:val="DefaultParagraphFont"/>
    <w:link w:val="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32"/>
      <w:szCs w:val="32"/>
      <w:u w:val="none"/>
    </w:rPr>
  </w:style>
  <w:style w:type="character" w:customStyle="1" w:styleId="CharStyle19">
    <w:name w:val="Body text (12)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CharStyle22">
    <w:name w:val="Body text (4)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25">
    <w:name w:val="Header or footer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27">
    <w:name w:val="Heading #2_"/>
    <w:basedOn w:val="DefaultParagraphFont"/>
    <w:link w:val="Styl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56"/>
      <w:szCs w:val="56"/>
      <w:u w:val="none"/>
    </w:rPr>
  </w:style>
  <w:style w:type="character" w:customStyle="1" w:styleId="CharStyle29">
    <w:name w:val="Heading #5_"/>
    <w:basedOn w:val="DefaultParagraphFont"/>
    <w:link w:val="Styl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38">
    <w:name w:val="Table caption_"/>
    <w:basedOn w:val="DefaultParagraphFont"/>
    <w:link w:val="Styl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41">
    <w:name w:val="Other_"/>
    <w:basedOn w:val="DefaultParagraphFont"/>
    <w:link w:val="Styl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53">
    <w:name w:val="Body text (10)_"/>
    <w:basedOn w:val="DefaultParagraphFont"/>
    <w:link w:val="Styl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56"/>
      <w:szCs w:val="56"/>
      <w:u w:val="none"/>
    </w:rPr>
  </w:style>
  <w:style w:type="character" w:customStyle="1" w:styleId="CharStyle56">
    <w:name w:val="Heading #4_"/>
    <w:basedOn w:val="DefaultParagraphFont"/>
    <w:link w:val="Style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paragraph" w:customStyle="1" w:styleId="Style6">
    <w:name w:val="Body text (5)"/>
    <w:basedOn w:val="Normal"/>
    <w:link w:val="CharStyle7"/>
    <w:pPr>
      <w:widowControl w:val="0"/>
      <w:shd w:val="clear" w:color="auto" w:fill="auto"/>
      <w:spacing w:line="269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8"/>
      <w:szCs w:val="8"/>
      <w:u w:val="none"/>
    </w:rPr>
  </w:style>
  <w:style w:type="paragraph" w:customStyle="1" w:styleId="Style8">
    <w:name w:val="Picture caption"/>
    <w:basedOn w:val="Normal"/>
    <w:link w:val="CharStyle9"/>
    <w:pPr>
      <w:widowControl w:val="0"/>
      <w:shd w:val="clear" w:color="auto" w:fill="auto"/>
      <w:spacing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1"/>
      <w:szCs w:val="11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line="293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14">
    <w:name w:val="Heading #1"/>
    <w:basedOn w:val="Normal"/>
    <w:link w:val="CharStyle15"/>
    <w:pPr>
      <w:widowControl w:val="0"/>
      <w:shd w:val="clear" w:color="auto" w:fill="auto"/>
      <w:spacing w:before="1680" w:after="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86"/>
      <w:szCs w:val="86"/>
      <w:u w:val="none"/>
    </w:rPr>
  </w:style>
  <w:style w:type="paragraph" w:customStyle="1" w:styleId="Style16">
    <w:name w:val="Heading #3"/>
    <w:basedOn w:val="Normal"/>
    <w:link w:val="CharStyle17"/>
    <w:pPr>
      <w:widowControl w:val="0"/>
      <w:shd w:val="clear" w:color="auto" w:fill="auto"/>
      <w:spacing w:after="1080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32"/>
      <w:szCs w:val="32"/>
      <w:u w:val="none"/>
    </w:rPr>
  </w:style>
  <w:style w:type="paragraph" w:customStyle="1" w:styleId="Style18">
    <w:name w:val="Body text (12)"/>
    <w:basedOn w:val="Normal"/>
    <w:link w:val="CharStyle19"/>
    <w:pPr>
      <w:widowControl w:val="0"/>
      <w:shd w:val="clear" w:color="auto" w:fill="auto"/>
      <w:spacing w:after="5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u w:val="none"/>
    </w:rPr>
  </w:style>
  <w:style w:type="paragraph" w:customStyle="1" w:styleId="Style21">
    <w:name w:val="Body text (4)"/>
    <w:basedOn w:val="Normal"/>
    <w:link w:val="CharStyle22"/>
    <w:pPr>
      <w:widowControl w:val="0"/>
      <w:shd w:val="clear" w:color="auto" w:fill="auto"/>
      <w:spacing w:after="240" w:line="281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Style24">
    <w:name w:val="Header or footer"/>
    <w:basedOn w:val="Normal"/>
    <w:link w:val="CharStyle25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26">
    <w:name w:val="Heading #2"/>
    <w:basedOn w:val="Normal"/>
    <w:link w:val="CharStyle27"/>
    <w:pPr>
      <w:widowControl w:val="0"/>
      <w:shd w:val="clear" w:color="auto" w:fill="auto"/>
      <w:spacing w:after="940" w:line="223" w:lineRule="auto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56"/>
      <w:szCs w:val="56"/>
      <w:u w:val="none"/>
    </w:rPr>
  </w:style>
  <w:style w:type="paragraph" w:customStyle="1" w:styleId="Style28">
    <w:name w:val="Heading #5"/>
    <w:basedOn w:val="Normal"/>
    <w:link w:val="CharStyle29"/>
    <w:pPr>
      <w:widowControl w:val="0"/>
      <w:shd w:val="clear" w:color="auto" w:fill="auto"/>
      <w:spacing w:after="240" w:line="290" w:lineRule="auto"/>
      <w:jc w:val="center"/>
      <w:outlineLvl w:val="4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37">
    <w:name w:val="Table caption"/>
    <w:basedOn w:val="Normal"/>
    <w:link w:val="CharStyle3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40">
    <w:name w:val="Other"/>
    <w:basedOn w:val="Normal"/>
    <w:link w:val="CharStyle41"/>
    <w:pPr>
      <w:widowControl w:val="0"/>
      <w:shd w:val="clear" w:color="auto" w:fill="auto"/>
      <w:spacing w:line="293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52">
    <w:name w:val="Body text (10)"/>
    <w:basedOn w:val="Normal"/>
    <w:link w:val="CharStyle53"/>
    <w:pPr>
      <w:widowControl w:val="0"/>
      <w:shd w:val="clear" w:color="auto" w:fill="auto"/>
      <w:spacing w:after="300" w:line="226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56"/>
      <w:szCs w:val="56"/>
      <w:u w:val="none"/>
    </w:rPr>
  </w:style>
  <w:style w:type="paragraph" w:customStyle="1" w:styleId="Style55">
    <w:name w:val="Heading #4"/>
    <w:basedOn w:val="Normal"/>
    <w:link w:val="CharStyle56"/>
    <w:pPr>
      <w:widowControl w:val="0"/>
      <w:shd w:val="clear" w:color="auto" w:fill="auto"/>
      <w:spacing w:after="240" w:line="290" w:lineRule="auto"/>
      <w:jc w:val="center"/>
      <w:outlineLvl w:val="3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header" Target="header1.xml"/><Relationship Id="rId46" Type="http://schemas.openxmlformats.org/officeDocument/2006/relationships/footer" Target="footer1.xml"/><Relationship Id="rId47" Type="http://schemas.openxmlformats.org/officeDocument/2006/relationships/header" Target="header2.xml"/><Relationship Id="rId48" Type="http://schemas.openxmlformats.org/officeDocument/2006/relationships/footer" Target="footer2.xml"/><Relationship Id="rId49" Type="http://schemas.openxmlformats.org/officeDocument/2006/relationships/header" Target="header3.xml"/><Relationship Id="rId50" Type="http://schemas.openxmlformats.org/officeDocument/2006/relationships/footer" Target="footer3.xml"/><Relationship Id="rId51" Type="http://schemas.openxmlformats.org/officeDocument/2006/relationships/image" Target="media/image21.jpeg"/><Relationship Id="rId52" Type="http://schemas.openxmlformats.org/officeDocument/2006/relationships/image" Target="media/image21.jpeg" TargetMode="External"/><Relationship Id="rId53" Type="http://schemas.openxmlformats.org/officeDocument/2006/relationships/image" Target="media/image22.jpeg"/><Relationship Id="rId54" Type="http://schemas.openxmlformats.org/officeDocument/2006/relationships/image" Target="media/image22.jpeg" TargetMode="External"/><Relationship Id="rId55" Type="http://schemas.openxmlformats.org/officeDocument/2006/relationships/image" Target="media/image23.jpeg"/><Relationship Id="rId56" Type="http://schemas.openxmlformats.org/officeDocument/2006/relationships/image" Target="media/image23.jpeg" TargetMode="External"/><Relationship Id="rId57" Type="http://schemas.openxmlformats.org/officeDocument/2006/relationships/image" Target="media/image24.jpeg"/><Relationship Id="rId58" Type="http://schemas.openxmlformats.org/officeDocument/2006/relationships/image" Target="media/image24.jpeg" TargetMode="External"/><Relationship Id="rId59" Type="http://schemas.openxmlformats.org/officeDocument/2006/relationships/header" Target="header4.xml"/><Relationship Id="rId60" Type="http://schemas.openxmlformats.org/officeDocument/2006/relationships/footer" Target="footer4.xml"/><Relationship Id="rId61" Type="http://schemas.openxmlformats.org/officeDocument/2006/relationships/header" Target="header5.xml"/><Relationship Id="rId62" Type="http://schemas.openxmlformats.org/officeDocument/2006/relationships/footer" Target="footer5.xml"/><Relationship Id="rId63" Type="http://schemas.openxmlformats.org/officeDocument/2006/relationships/header" Target="header6.xml"/><Relationship Id="rId64" Type="http://schemas.openxmlformats.org/officeDocument/2006/relationships/footer" Target="footer6.xml"/></Relationships>
</file>